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方正小标宋简体" w:hAnsi="方正小标宋简体" w:eastAsia="方正小标宋简体" w:cs="方正小标宋简体"/>
          <w:color w:val="auto"/>
          <w:kern w:val="44"/>
          <w:sz w:val="44"/>
          <w:szCs w:val="44"/>
          <w:highlight w:val="none"/>
        </w:rPr>
      </w:pPr>
      <w:r>
        <w:rPr>
          <w:rFonts w:hint="eastAsia" w:ascii="方正小标宋简体" w:hAnsi="方正小标宋简体" w:eastAsia="方正小标宋简体" w:cs="方正小标宋简体"/>
          <w:color w:val="auto"/>
          <w:kern w:val="44"/>
          <w:sz w:val="44"/>
          <w:szCs w:val="44"/>
          <w:highlight w:val="none"/>
        </w:rPr>
        <w:t>财务管理专业人才培养方案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专业代码：120204        执笔人：于小艳</w:t>
      </w:r>
    </w:p>
    <w:p>
      <w:pPr>
        <w:pStyle w:val="2"/>
      </w:pPr>
    </w:p>
    <w:p>
      <w:pPr>
        <w:spacing w:line="460" w:lineRule="exact"/>
        <w:ind w:firstLine="562" w:firstLineChars="200"/>
        <w:rPr>
          <w:rFonts w:ascii="方正黑体简体" w:hAnsi="宋体" w:eastAsia="方正黑体简体"/>
          <w:color w:val="auto"/>
          <w:sz w:val="28"/>
          <w:szCs w:val="28"/>
          <w:highlight w:val="none"/>
        </w:rPr>
      </w:pPr>
      <w:r>
        <w:rPr>
          <w:rFonts w:hint="eastAsia" w:ascii="宋体" w:hAnsi="宋体" w:cs="宋体"/>
          <w:b/>
          <w:bCs/>
          <w:color w:val="auto"/>
          <w:sz w:val="28"/>
          <w:szCs w:val="28"/>
          <w:highlight w:val="none"/>
        </w:rPr>
        <w:t>一、培养目标</w:t>
      </w:r>
    </w:p>
    <w:p>
      <w:pPr>
        <w:spacing w:line="460" w:lineRule="exact"/>
        <w:ind w:firstLine="480" w:firstLineChars="200"/>
        <w:rPr>
          <w:color w:val="auto"/>
          <w:sz w:val="24"/>
          <w:highlight w:val="none"/>
        </w:rPr>
      </w:pPr>
      <w:r>
        <w:rPr>
          <w:rFonts w:hint="eastAsia" w:ascii="宋体" w:hAnsi="宋体" w:eastAsia="宋体" w:cs="宋体"/>
          <w:color w:val="auto"/>
          <w:sz w:val="24"/>
          <w:highlight w:val="none"/>
        </w:rPr>
        <w:t>本专业培养具备管理学、经济学等方面的理论基础，掌握会计操作实务，熟悉财务管理的理论与方法，培养能够在政府、企事业单位从事会计和财务管理及相关工作的品德高尚，身心健康，基础扎实，实践能力、适应能力、创新能力强的高素质应用型人才。</w:t>
      </w:r>
    </w:p>
    <w:p>
      <w:pPr>
        <w:numPr>
          <w:ilvl w:val="0"/>
          <w:numId w:val="1"/>
        </w:numPr>
        <w:spacing w:line="460" w:lineRule="exact"/>
        <w:ind w:firstLine="562" w:firstLineChars="200"/>
        <w:rPr>
          <w:rFonts w:ascii="宋体" w:hAnsi="宋体" w:cs="宋体"/>
          <w:b/>
          <w:bCs/>
          <w:color w:val="auto"/>
          <w:sz w:val="28"/>
          <w:szCs w:val="28"/>
          <w:highlight w:val="none"/>
        </w:rPr>
      </w:pPr>
      <w:r>
        <w:rPr>
          <w:rFonts w:hint="eastAsia" w:ascii="宋体" w:hAnsi="宋体" w:cs="宋体"/>
          <w:b/>
          <w:bCs/>
          <w:color w:val="auto"/>
          <w:sz w:val="28"/>
          <w:szCs w:val="28"/>
          <w:highlight w:val="none"/>
        </w:rPr>
        <w:t>培养要求</w:t>
      </w:r>
    </w:p>
    <w:p>
      <w:pPr>
        <w:spacing w:line="460" w:lineRule="exact"/>
        <w:ind w:firstLine="480" w:firstLineChars="200"/>
        <w:jc w:val="left"/>
        <w:rPr>
          <w:color w:val="auto"/>
          <w:sz w:val="24"/>
          <w:highlight w:val="none"/>
        </w:rPr>
      </w:pPr>
      <w:r>
        <w:rPr>
          <w:rFonts w:hint="eastAsia"/>
          <w:color w:val="auto"/>
          <w:sz w:val="24"/>
          <w:highlight w:val="none"/>
        </w:rPr>
        <w:t>（一）专业培养基本要求</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要求1：具备正确的世界观、人生观和价值观，具有强烈的爱国敬业精神，具有良好的身心素质，健全的心理和健康的体魄；</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要求2：掌握管理学、经济学、会计学和财务管理的基本理论和知识；</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要求3：具备一定的社会学、心理学、政治学等方面的人文社会科学知识，学习思想政治理论知识，掌握英语、计算机等方面的知识；</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要求4：具有较强的语言与文字表达、沟通能力、组织协调与管理能力、抗压能力、终身学习和持续创新能力等；</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要求5：掌握会计实务操作和财务管理的基本方法，能够较好的运用统计学、excel等分析工具分析并解决财务管理问题，养成良好的职业判断能力；</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要求6：了解本学科的相关理论前沿和发展动态，掌握运用现代信息技术获取相关信息的基本方法，具有获取与传播知识和信息的能力；</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要求7：熟悉国内外与财务管理相关的方针、政策和法规，良好的职业道德素养，坚持职业操守和道德规范；</w:t>
      </w:r>
    </w:p>
    <w:p>
      <w:pPr>
        <w:spacing w:line="460" w:lineRule="exact"/>
        <w:ind w:firstLine="480" w:firstLineChars="200"/>
        <w:jc w:val="left"/>
        <w:rPr>
          <w:color w:val="auto"/>
          <w:sz w:val="24"/>
          <w:highlight w:val="none"/>
        </w:rPr>
      </w:pPr>
      <w:r>
        <w:rPr>
          <w:rFonts w:hint="eastAsia" w:ascii="宋体" w:hAnsi="宋体" w:eastAsia="宋体" w:cs="宋体"/>
          <w:color w:val="auto"/>
          <w:sz w:val="24"/>
          <w:highlight w:val="none"/>
        </w:rPr>
        <w:t>要求8：掌握科学的思维方法，具备严谨的科学态度和务实的工作作风，具有良好的人际关系和团队协作精神。</w:t>
      </w:r>
      <w:r>
        <w:rPr>
          <w:rFonts w:hint="eastAsia"/>
          <w:color w:val="auto"/>
          <w:sz w:val="24"/>
          <w:highlight w:val="none"/>
        </w:rPr>
        <w:br w:type="page"/>
      </w:r>
    </w:p>
    <w:p>
      <w:pPr>
        <w:numPr>
          <w:ilvl w:val="0"/>
          <w:numId w:val="2"/>
        </w:numPr>
        <w:spacing w:line="460" w:lineRule="exact"/>
        <w:ind w:firstLine="480" w:firstLineChars="200"/>
        <w:jc w:val="left"/>
        <w:rPr>
          <w:color w:val="auto"/>
          <w:sz w:val="24"/>
          <w:highlight w:val="none"/>
        </w:rPr>
      </w:pPr>
      <w:r>
        <w:rPr>
          <w:rFonts w:hint="eastAsia"/>
          <w:color w:val="auto"/>
          <w:sz w:val="24"/>
          <w:highlight w:val="none"/>
        </w:rPr>
        <w:t>课程体系与培养要求的对应关系矩阵</w:t>
      </w:r>
    </w:p>
    <w:p>
      <w:pPr>
        <w:spacing w:line="460" w:lineRule="exact"/>
        <w:ind w:firstLine="630" w:firstLineChars="300"/>
        <w:jc w:val="left"/>
        <w:rPr>
          <w:color w:val="auto"/>
          <w:szCs w:val="21"/>
          <w:highlight w:val="none"/>
        </w:rPr>
      </w:pPr>
      <w:r>
        <w:rPr>
          <w:rFonts w:hint="eastAsia" w:asciiTheme="minorEastAsia" w:hAnsiTheme="minorEastAsia" w:cstheme="minorEastAsia"/>
          <w:color w:val="auto"/>
          <w:szCs w:val="21"/>
          <w:highlight w:val="none"/>
        </w:rPr>
        <w:t>表1                                                          财务管理专业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41"/>
        <w:gridCol w:w="614"/>
        <w:gridCol w:w="614"/>
        <w:gridCol w:w="614"/>
        <w:gridCol w:w="614"/>
        <w:gridCol w:w="615"/>
        <w:gridCol w:w="614"/>
        <w:gridCol w:w="614"/>
        <w:gridCol w:w="6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4441" w:type="dxa"/>
            <w:tcBorders>
              <w:tl2br w:val="nil"/>
              <w:tr2bl w:val="nil"/>
            </w:tcBorders>
            <w:vAlign w:val="center"/>
            <mc:AlternateContent>
              <mc:Choice Requires="wpsCustomData">
                <wpsCustomData:diagonals>
                  <wpsCustomData:diagonal from="10000" to="30000">
                    <wpsCustomData:border w:val="single" w:color="auto" w:sz="12" w:space="0"/>
                  </wpsCustomData:diagonal>
                </wpsCustomData:diagonals>
              </mc:Choice>
            </mc:AlternateContent>
          </w:tcPr>
          <w:p>
            <w:pPr>
              <w:snapToGrid w:val="0"/>
              <w:spacing w:line="440" w:lineRule="exact"/>
              <w:jc w:val="center"/>
              <w:rPr>
                <w:rFonts w:ascii="宋体" w:hAnsi="宋体" w:eastAsia="宋体" w:cs="宋体"/>
                <w:color w:val="auto"/>
                <w:szCs w:val="21"/>
                <w:highlight w:val="none"/>
              </w:rPr>
            </w:pPr>
          </w:p>
          <w:p>
            <w:pPr>
              <w:snapToGrid w:val="0"/>
              <w:spacing w:line="240" w:lineRule="auto"/>
              <w:jc w:val="center"/>
              <mc:AlternateContent>
                <mc:Choice Requires="wpsCustomData">
                  <wpsCustomData:diagonalParaType/>
                </mc:Choice>
              </mc:AlternateConten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课程名称</w:t>
            </w:r>
          </w:p>
          <w:p>
            <w:pPr>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培养要求</w:t>
            </w:r>
          </w:p>
        </w:tc>
        <w:tc>
          <w:tcPr>
            <w:tcW w:w="614"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614"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614"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614"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615"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614"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614"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614" w:type="dxa"/>
            <w:tcBorders>
              <w:tl2br w:val="nil"/>
              <w:tr2bl w:val="nil"/>
            </w:tcBorders>
            <w:vAlign w:val="center"/>
          </w:tcPr>
          <w:p>
            <w:pPr>
              <w:spacing w:line="4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4" w:hRule="exact"/>
          <w:jc w:val="center"/>
        </w:trPr>
        <w:tc>
          <w:tcPr>
            <w:tcW w:w="4441" w:type="dxa"/>
            <w:tcBorders>
              <w:tl2br w:val="nil"/>
              <w:tr2bl w:val="nil"/>
            </w:tcBorders>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思想政治理论课(</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r>
              <w:rPr>
                <w:rFonts w:hint="eastAsia" w:ascii="宋体" w:hAnsi="宋体" w:cs="宋体"/>
                <w:color w:val="auto"/>
                <w:sz w:val="18"/>
                <w:szCs w:val="18"/>
                <w:highlight w:val="none"/>
              </w:rPr>
              <w:t>思想道德与法治</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2.中国近现代史纲要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3.马克思主义基本原理</w:t>
            </w:r>
          </w:p>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4.毛泽东思想和中国特色社会主义理论体系概论</w:t>
            </w:r>
          </w:p>
          <w:p>
            <w:pP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5.习近平新时代中国特色社会主义思想概论</w:t>
            </w:r>
          </w:p>
          <w:p>
            <w:pPr>
              <w:rPr>
                <w:color w:val="auto"/>
                <w:sz w:val="24"/>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.形势与政策</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1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3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4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IV</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lang w:eastAsia="zh-CN"/>
              </w:rPr>
              <w:t>、Ⅴ、Ⅵ</w:t>
            </w:r>
            <w:r>
              <w:rPr>
                <w:rFonts w:hint="eastAsia" w:ascii="宋体" w:hAnsi="宋体" w:eastAsia="宋体" w:cs="宋体"/>
                <w:color w:val="auto"/>
                <w:sz w:val="18"/>
                <w:szCs w:val="18"/>
                <w:highlight w:val="none"/>
              </w:rPr>
              <w:t>）</w:t>
            </w:r>
          </w:p>
        </w:tc>
        <w:tc>
          <w:tcPr>
            <w:tcW w:w="614" w:type="dxa"/>
            <w:tcBorders>
              <w:tl2br w:val="nil"/>
              <w:tr2bl w:val="nil"/>
            </w:tcBorders>
            <w:vAlign w:val="center"/>
          </w:tcPr>
          <w:p>
            <w:pPr>
              <w:spacing w:line="440" w:lineRule="exact"/>
              <w:jc w:val="center"/>
              <w:rPr>
                <w:color w:val="auto"/>
                <w:highlight w:val="none"/>
              </w:rPr>
            </w:pPr>
            <w:r>
              <w:rPr>
                <w:rFonts w:hint="eastAsia" w:ascii="宋体" w:hAnsi="宋体" w:eastAsia="宋体" w:cs="宋体"/>
                <w:color w:val="auto"/>
                <w:sz w:val="18"/>
                <w:szCs w:val="18"/>
                <w:highlight w:val="none"/>
              </w:rPr>
              <w:t>H</w:t>
            </w: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5"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4441" w:type="dxa"/>
            <w:tcBorders>
              <w:tl2br w:val="nil"/>
              <w:tr2bl w:val="nil"/>
            </w:tcBorders>
            <w:vAlign w:val="center"/>
          </w:tcPr>
          <w:p>
            <w:pPr>
              <w:rPr>
                <w:color w:val="auto"/>
                <w:sz w:val="24"/>
                <w:highlight w:val="none"/>
              </w:rPr>
            </w:pPr>
            <w:r>
              <w:rPr>
                <w:rFonts w:hint="eastAsia" w:ascii="宋体" w:hAnsi="宋体" w:eastAsia="宋体" w:cs="宋体"/>
                <w:color w:val="auto"/>
                <w:sz w:val="18"/>
                <w:szCs w:val="18"/>
                <w:highlight w:val="none"/>
              </w:rPr>
              <w:t>大学英语（</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1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3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4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IV</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tc>
        <w:tc>
          <w:tcPr>
            <w:tcW w:w="614" w:type="dxa"/>
            <w:tcBorders>
              <w:tl2br w:val="nil"/>
              <w:tr2bl w:val="nil"/>
            </w:tcBorders>
            <w:vAlign w:val="center"/>
          </w:tcPr>
          <w:p>
            <w:pPr>
              <w:spacing w:line="440" w:lineRule="exact"/>
              <w:jc w:val="center"/>
              <w:rPr>
                <w:color w:val="auto"/>
                <w:highlight w:val="none"/>
              </w:rPr>
            </w:pPr>
            <w:r>
              <w:rPr>
                <w:rFonts w:hint="eastAsia" w:ascii="宋体" w:hAnsi="宋体" w:eastAsia="宋体" w:cs="宋体"/>
                <w:color w:val="auto"/>
                <w:sz w:val="18"/>
                <w:szCs w:val="18"/>
                <w:highlight w:val="none"/>
              </w:rPr>
              <w:t>M</w:t>
            </w: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5"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441" w:type="dxa"/>
            <w:tcBorders>
              <w:tl2br w:val="nil"/>
              <w:tr2bl w:val="nil"/>
            </w:tcBorders>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大学体育（I、</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p>
            <w:pPr>
              <w:rPr>
                <w:color w:val="auto"/>
                <w:sz w:val="24"/>
                <w:highlight w:val="none"/>
              </w:rPr>
            </w:pPr>
            <w:r>
              <w:rPr>
                <w:rFonts w:hint="eastAsia" w:ascii="宋体" w:hAnsi="宋体" w:eastAsia="宋体" w:cs="宋体"/>
                <w:color w:val="auto"/>
                <w:sz w:val="18"/>
                <w:szCs w:val="18"/>
                <w:highlight w:val="none"/>
              </w:rPr>
              <w:t>俱乐部制体育（I、</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tc>
        <w:tc>
          <w:tcPr>
            <w:tcW w:w="614" w:type="dxa"/>
            <w:tcBorders>
              <w:tl2br w:val="nil"/>
              <w:tr2bl w:val="nil"/>
            </w:tcBorders>
            <w:vAlign w:val="center"/>
          </w:tcPr>
          <w:p>
            <w:pPr>
              <w:spacing w:line="440" w:lineRule="exact"/>
              <w:jc w:val="center"/>
              <w:rPr>
                <w:color w:val="auto"/>
                <w:highlight w:val="none"/>
              </w:rPr>
            </w:pPr>
            <w:r>
              <w:rPr>
                <w:rFonts w:hint="eastAsia" w:ascii="宋体" w:hAnsi="宋体" w:eastAsia="宋体" w:cs="宋体"/>
                <w:color w:val="auto"/>
                <w:sz w:val="18"/>
                <w:szCs w:val="18"/>
                <w:highlight w:val="none"/>
              </w:rPr>
              <w:t>H</w:t>
            </w: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5"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14" w:type="dxa"/>
            <w:tcBorders>
              <w:tl2br w:val="nil"/>
              <w:tr2bl w:val="nil"/>
            </w:tcBorders>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color w:val="auto"/>
                <w:sz w:val="24"/>
                <w:highlight w:val="none"/>
              </w:rPr>
            </w:pPr>
            <w:r>
              <w:rPr>
                <w:rFonts w:hint="eastAsia" w:ascii="宋体" w:hAnsi="宋体" w:cs="宋体"/>
                <w:color w:val="auto"/>
                <w:sz w:val="18"/>
                <w:szCs w:val="18"/>
                <w:highlight w:val="none"/>
              </w:rPr>
              <w:t>军事理论</w:t>
            </w:r>
          </w:p>
        </w:tc>
        <w:tc>
          <w:tcPr>
            <w:tcW w:w="614" w:type="dxa"/>
            <w:vAlign w:val="center"/>
          </w:tcPr>
          <w:p>
            <w:pPr>
              <w:spacing w:line="44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5"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中华优秀传统文化</w:t>
            </w:r>
          </w:p>
        </w:tc>
        <w:tc>
          <w:tcPr>
            <w:tcW w:w="614" w:type="dxa"/>
            <w:vAlign w:val="center"/>
          </w:tcPr>
          <w:p>
            <w:pPr>
              <w:spacing w:line="440" w:lineRule="exact"/>
              <w:jc w:val="center"/>
              <w:rPr>
                <w:rFonts w:hint="eastAsia"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5"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color w:val="auto"/>
                <w:sz w:val="24"/>
                <w:highlight w:val="none"/>
              </w:rPr>
            </w:pPr>
            <w:r>
              <w:rPr>
                <w:rFonts w:hint="eastAsia" w:ascii="宋体" w:hAnsi="宋体" w:eastAsia="宋体" w:cs="宋体"/>
                <w:color w:val="auto"/>
                <w:sz w:val="18"/>
                <w:szCs w:val="18"/>
                <w:highlight w:val="none"/>
              </w:rPr>
              <w:t>创新创业教育</w:t>
            </w:r>
          </w:p>
        </w:tc>
        <w:tc>
          <w:tcPr>
            <w:tcW w:w="614" w:type="dxa"/>
            <w:vAlign w:val="center"/>
          </w:tcPr>
          <w:p>
            <w:pPr>
              <w:spacing w:line="44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5"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color w:val="auto"/>
                <w:sz w:val="24"/>
                <w:highlight w:val="none"/>
              </w:rPr>
            </w:pPr>
            <w:r>
              <w:rPr>
                <w:rFonts w:hint="eastAsia" w:ascii="宋体" w:hAnsi="宋体" w:eastAsia="宋体" w:cs="宋体"/>
                <w:color w:val="auto"/>
                <w:sz w:val="18"/>
                <w:szCs w:val="18"/>
                <w:highlight w:val="none"/>
              </w:rPr>
              <w:t>大学生心理健康教育</w:t>
            </w:r>
          </w:p>
        </w:tc>
        <w:tc>
          <w:tcPr>
            <w:tcW w:w="614" w:type="dxa"/>
            <w:vAlign w:val="center"/>
          </w:tcPr>
          <w:p>
            <w:pPr>
              <w:spacing w:line="440" w:lineRule="exact"/>
              <w:jc w:val="center"/>
              <w:rPr>
                <w:color w:val="auto"/>
                <w:highlight w:val="none"/>
              </w:rPr>
            </w:pPr>
            <w:r>
              <w:rPr>
                <w:rFonts w:hint="eastAsia" w:ascii="宋体" w:hAnsi="宋体" w:eastAsia="宋体" w:cs="宋体"/>
                <w:color w:val="auto"/>
                <w:sz w:val="18"/>
                <w:szCs w:val="18"/>
                <w:highlight w:val="none"/>
              </w:rPr>
              <w:t>H</w:t>
            </w: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5"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color w:val="auto"/>
                <w:sz w:val="24"/>
                <w:highlight w:val="none"/>
              </w:rPr>
            </w:pPr>
            <w:r>
              <w:rPr>
                <w:rFonts w:hint="eastAsia" w:ascii="宋体" w:hAnsi="宋体" w:eastAsia="宋体" w:cs="宋体"/>
                <w:color w:val="auto"/>
                <w:sz w:val="18"/>
                <w:szCs w:val="18"/>
                <w:highlight w:val="none"/>
              </w:rPr>
              <w:t>大学生职业生涯发展与就业指导（上</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lang w:val="en-US" w:eastAsia="zh-CN"/>
              </w:rPr>
              <w:t>下</w:t>
            </w:r>
            <w:r>
              <w:rPr>
                <w:rFonts w:hint="eastAsia" w:ascii="宋体" w:hAnsi="宋体" w:eastAsia="宋体" w:cs="宋体"/>
                <w:color w:val="auto"/>
                <w:sz w:val="18"/>
                <w:szCs w:val="18"/>
                <w:highlight w:val="none"/>
              </w:rPr>
              <w:t>）</w:t>
            </w:r>
          </w:p>
        </w:tc>
        <w:tc>
          <w:tcPr>
            <w:tcW w:w="614" w:type="dxa"/>
            <w:vAlign w:val="center"/>
          </w:tcPr>
          <w:p>
            <w:pPr>
              <w:spacing w:line="44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5"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5" w:hRule="exact"/>
          <w:jc w:val="center"/>
        </w:trPr>
        <w:tc>
          <w:tcPr>
            <w:tcW w:w="4441" w:type="dxa"/>
            <w:vAlign w:val="center"/>
          </w:tcPr>
          <w:p>
            <w:pPr>
              <w:rPr>
                <w:rFonts w:cs="宋体" w:asciiTheme="minorEastAsia" w:hAnsiTheme="minorEastAsia"/>
                <w:color w:val="auto"/>
                <w:sz w:val="18"/>
                <w:szCs w:val="18"/>
                <w:highlight w:val="none"/>
              </w:rPr>
            </w:pPr>
            <w:r>
              <w:rPr>
                <w:rFonts w:hint="eastAsia" w:ascii="宋体" w:hAnsi="宋体" w:eastAsia="宋体" w:cs="宋体"/>
                <w:color w:val="auto"/>
                <w:sz w:val="18"/>
                <w:szCs w:val="18"/>
                <w:highlight w:val="none"/>
              </w:rPr>
              <w:t>数学课（</w:t>
            </w:r>
            <w:r>
              <w:rPr>
                <w:rFonts w:hint="eastAsia" w:cs="宋体" w:asciiTheme="minorEastAsia" w:hAnsiTheme="minorEastAsia"/>
                <w:color w:val="auto"/>
                <w:sz w:val="18"/>
                <w:szCs w:val="18"/>
                <w:highlight w:val="none"/>
              </w:rPr>
              <w:t>高等数学JI</w:t>
            </w:r>
          </w:p>
          <w:p>
            <w:pP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高等数学JII</w:t>
            </w:r>
          </w:p>
          <w:p>
            <w:pP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线性代数与线性规划</w:t>
            </w:r>
          </w:p>
          <w:p>
            <w:pPr>
              <w:rPr>
                <w:color w:val="auto"/>
                <w:sz w:val="24"/>
                <w:highlight w:val="none"/>
              </w:rPr>
            </w:pPr>
            <w:r>
              <w:rPr>
                <w:rFonts w:hint="eastAsia" w:cs="宋体" w:asciiTheme="minorEastAsia" w:hAnsiTheme="minorEastAsia"/>
                <w:color w:val="auto"/>
                <w:sz w:val="18"/>
                <w:szCs w:val="18"/>
                <w:highlight w:val="none"/>
              </w:rPr>
              <w:t>概率论与数理统计</w:t>
            </w:r>
            <w:r>
              <w:rPr>
                <w:rFonts w:hint="eastAsia" w:ascii="宋体" w:hAnsi="宋体" w:eastAsia="宋体" w:cs="宋体"/>
                <w:color w:val="auto"/>
                <w:sz w:val="18"/>
                <w:szCs w:val="18"/>
                <w:highlight w:val="none"/>
              </w:rPr>
              <w:t>）</w:t>
            </w:r>
          </w:p>
        </w:tc>
        <w:tc>
          <w:tcPr>
            <w:tcW w:w="614" w:type="dxa"/>
            <w:vAlign w:val="center"/>
          </w:tcPr>
          <w:p>
            <w:pPr>
              <w:spacing w:line="440" w:lineRule="exact"/>
              <w:jc w:val="center"/>
              <w:rPr>
                <w:color w:val="auto"/>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p>
        </w:tc>
        <w:tc>
          <w:tcPr>
            <w:tcW w:w="614" w:type="dxa"/>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spacing w:line="260" w:lineRule="exact"/>
              <w:rPr>
                <w:rFonts w:ascii="宋体" w:hAnsi="宋体" w:eastAsia="宋体" w:cs="宋体"/>
                <w:color w:val="auto"/>
                <w:sz w:val="18"/>
                <w:szCs w:val="18"/>
                <w:highlight w:val="none"/>
              </w:rPr>
            </w:pPr>
            <w:r>
              <w:rPr>
                <w:rFonts w:hint="eastAsia" w:cs="宋体" w:asciiTheme="minorEastAsia" w:hAnsiTheme="minorEastAsia"/>
                <w:color w:val="auto"/>
                <w:sz w:val="18"/>
                <w:szCs w:val="18"/>
                <w:highlight w:val="none"/>
              </w:rPr>
              <w:t>EXCEL高级应用</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hint="eastAsia" w:ascii="宋体" w:hAnsi="宋体" w:cs="宋体" w:eastAsiaTheme="minorEastAsia"/>
                <w:color w:val="auto"/>
                <w:sz w:val="18"/>
                <w:szCs w:val="18"/>
                <w:highlight w:val="none"/>
                <w:lang w:val="en-US" w:eastAsia="zh-CN"/>
              </w:rPr>
            </w:pPr>
            <w:r>
              <w:rPr>
                <w:rFonts w:hint="eastAsia" w:ascii="宋体" w:hAnsi="宋体" w:cs="宋体"/>
                <w:color w:val="auto"/>
                <w:kern w:val="0"/>
                <w:sz w:val="18"/>
                <w:szCs w:val="18"/>
                <w:highlight w:val="none"/>
              </w:rPr>
              <w:t>管理学</w:t>
            </w:r>
            <w:r>
              <w:rPr>
                <w:rFonts w:hint="eastAsia" w:ascii="宋体" w:hAnsi="宋体" w:cs="宋体"/>
                <w:color w:val="auto"/>
                <w:kern w:val="0"/>
                <w:sz w:val="18"/>
                <w:szCs w:val="18"/>
                <w:highlight w:val="none"/>
                <w:lang w:val="en-US" w:eastAsia="zh-CN"/>
              </w:rPr>
              <w:t>原理</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微观经济学</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基础会计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宏观经济学</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spacing w:line="260" w:lineRule="exact"/>
              <w:rPr>
                <w:rFonts w:ascii="宋体" w:hAnsi="宋体" w:eastAsia="宋体" w:cs="宋体"/>
                <w:color w:val="auto"/>
                <w:sz w:val="18"/>
                <w:szCs w:val="18"/>
                <w:highlight w:val="none"/>
              </w:rPr>
            </w:pPr>
            <w:r>
              <w:rPr>
                <w:rFonts w:hint="eastAsia" w:cs="宋体" w:asciiTheme="minorEastAsia" w:hAnsiTheme="minorEastAsia"/>
                <w:color w:val="auto"/>
                <w:sz w:val="18"/>
                <w:szCs w:val="18"/>
                <w:highlight w:val="none"/>
              </w:rPr>
              <w:t>概率论与数理统计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财务会计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经济法</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统计学</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color w:val="auto"/>
                <w:kern w:val="0"/>
                <w:sz w:val="18"/>
                <w:szCs w:val="18"/>
                <w:highlight w:val="none"/>
              </w:rPr>
              <w:t>税法</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市场营销</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财务管理</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auto"/>
                <w:sz w:val="18"/>
                <w:szCs w:val="18"/>
                <w:highlight w:val="none"/>
              </w:rPr>
            </w:pPr>
            <w:r>
              <w:rPr>
                <w:rFonts w:hint="eastAsia"/>
                <w:color w:val="auto"/>
                <w:sz w:val="18"/>
                <w:szCs w:val="18"/>
                <w:highlight w:val="none"/>
              </w:rPr>
              <w:t>成本会计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税务会计与税收筹划</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计算机财务管理</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管理会计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电算会计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审计学</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财务分析</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管理心理学</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Python数据分析基础</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default" w:ascii="宋体" w:hAnsi="宋体" w:cs="宋体" w:eastAsiaTheme="minorEastAsia"/>
                <w:color w:val="auto"/>
                <w:kern w:val="2"/>
                <w:sz w:val="18"/>
                <w:szCs w:val="18"/>
                <w:highlight w:val="none"/>
                <w:lang w:val="en-US" w:eastAsia="zh-CN" w:bidi="ar-SA"/>
              </w:rPr>
            </w:pPr>
            <w:r>
              <w:rPr>
                <w:rFonts w:hint="eastAsia" w:ascii="宋体" w:hAnsi="宋体" w:cs="宋体"/>
                <w:color w:val="auto"/>
                <w:kern w:val="2"/>
                <w:sz w:val="18"/>
                <w:szCs w:val="18"/>
                <w:highlight w:val="none"/>
                <w:lang w:val="en-US" w:eastAsia="zh-CN" w:bidi="ar-SA"/>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管理信息系统</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非营利组织会计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国际贸易实务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金融企业会计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国际金融</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预算会计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高级财务管理</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ERP供应链管理</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个人理财</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财务案例</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color w:val="auto"/>
                <w:kern w:val="0"/>
                <w:sz w:val="18"/>
                <w:szCs w:val="18"/>
                <w:highlight w:val="none"/>
              </w:rPr>
            </w:pPr>
            <w:r>
              <w:rPr>
                <w:rFonts w:hint="eastAsia" w:ascii="宋体" w:hAnsi="宋体" w:cs="宋体"/>
                <w:color w:val="auto"/>
                <w:kern w:val="0"/>
                <w:sz w:val="18"/>
                <w:szCs w:val="18"/>
                <w:highlight w:val="none"/>
              </w:rPr>
              <w:t>资产评估</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kinsoku/>
              <w:wordWrap/>
              <w:overflowPunct/>
              <w:topLinePunct w:val="0"/>
              <w:autoSpaceDE/>
              <w:autoSpaceDN/>
              <w:bidi w:val="0"/>
              <w:adjustRightInd/>
              <w:spacing w:line="240" w:lineRule="auto"/>
              <w:rPr>
                <w:rFonts w:hint="eastAsia" w:ascii="宋体" w:hAnsi="宋体" w:eastAsia="宋体" w:cs="Times New Roman"/>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商务数据分析</w:t>
            </w:r>
          </w:p>
        </w:tc>
        <w:tc>
          <w:tcPr>
            <w:tcW w:w="614" w:type="dxa"/>
            <w:noWrap w:val="0"/>
            <w:vAlign w:val="center"/>
          </w:tcPr>
          <w:p>
            <w:pPr>
              <w:spacing w:line="260" w:lineRule="exact"/>
              <w:jc w:val="center"/>
              <w:rPr>
                <w:rFonts w:ascii="宋体" w:hAnsi="宋体" w:eastAsia="宋体" w:cs="Times New Roman"/>
                <w:color w:val="auto"/>
                <w:kern w:val="0"/>
                <w:sz w:val="18"/>
                <w:szCs w:val="18"/>
                <w:highlight w:val="none"/>
                <w:lang w:val="en-US" w:eastAsia="zh-CN" w:bidi="ar-SA"/>
              </w:rPr>
            </w:pPr>
          </w:p>
        </w:tc>
        <w:tc>
          <w:tcPr>
            <w:tcW w:w="614" w:type="dxa"/>
            <w:noWrap w:val="0"/>
            <w:vAlign w:val="center"/>
          </w:tcPr>
          <w:p>
            <w:pPr>
              <w:spacing w:line="260" w:lineRule="exact"/>
              <w:jc w:val="center"/>
              <w:rPr>
                <w:rFonts w:hint="eastAsia" w:ascii="宋体" w:hAnsi="宋体" w:eastAsia="宋体" w:cs="Times New Roman"/>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noWrap w:val="0"/>
            <w:vAlign w:val="center"/>
          </w:tcPr>
          <w:p>
            <w:pPr>
              <w:spacing w:line="260" w:lineRule="exact"/>
              <w:jc w:val="center"/>
              <w:rPr>
                <w:rFonts w:ascii="宋体" w:hAnsi="宋体" w:eastAsia="宋体" w:cs="Times New Roman"/>
                <w:color w:val="auto"/>
                <w:kern w:val="0"/>
                <w:sz w:val="18"/>
                <w:szCs w:val="18"/>
                <w:highlight w:val="none"/>
                <w:lang w:val="en-US" w:eastAsia="zh-CN" w:bidi="ar-SA"/>
              </w:rPr>
            </w:pPr>
          </w:p>
        </w:tc>
        <w:tc>
          <w:tcPr>
            <w:tcW w:w="614" w:type="dxa"/>
            <w:noWrap w:val="0"/>
            <w:vAlign w:val="center"/>
          </w:tcPr>
          <w:p>
            <w:pPr>
              <w:spacing w:line="260" w:lineRule="exact"/>
              <w:jc w:val="center"/>
              <w:rPr>
                <w:rFonts w:ascii="宋体" w:hAnsi="宋体" w:eastAsia="宋体" w:cs="Times New Roman"/>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c>
          <w:tcPr>
            <w:tcW w:w="615" w:type="dxa"/>
            <w:noWrap w:val="0"/>
            <w:vAlign w:val="center"/>
          </w:tcPr>
          <w:p>
            <w:pPr>
              <w:spacing w:line="260" w:lineRule="exact"/>
              <w:jc w:val="center"/>
              <w:rPr>
                <w:rFonts w:ascii="Calibri" w:hAnsi="Calibri" w:eastAsia="宋体" w:cs="Times New Roman"/>
                <w:color w:val="auto"/>
                <w:kern w:val="2"/>
                <w:sz w:val="24"/>
                <w:szCs w:val="24"/>
                <w:highlight w:val="none"/>
                <w:lang w:val="en-US" w:eastAsia="zh-CN" w:bidi="ar-SA"/>
              </w:rPr>
            </w:pPr>
            <w:r>
              <w:rPr>
                <w:rFonts w:hint="eastAsia" w:ascii="宋体" w:hAnsi="宋体" w:eastAsia="宋体" w:cs="宋体"/>
                <w:color w:val="auto"/>
                <w:sz w:val="18"/>
                <w:szCs w:val="18"/>
                <w:highlight w:val="none"/>
              </w:rPr>
              <w:t>H</w:t>
            </w:r>
          </w:p>
        </w:tc>
        <w:tc>
          <w:tcPr>
            <w:tcW w:w="614" w:type="dxa"/>
            <w:noWrap w:val="0"/>
            <w:vAlign w:val="center"/>
          </w:tcPr>
          <w:p>
            <w:pPr>
              <w:spacing w:line="260" w:lineRule="exact"/>
              <w:jc w:val="center"/>
              <w:rPr>
                <w:rFonts w:hint="eastAsia" w:ascii="宋体" w:hAnsi="宋体" w:eastAsia="宋体" w:cs="Times New Roman"/>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noWrap w:val="0"/>
            <w:vAlign w:val="center"/>
          </w:tcPr>
          <w:p>
            <w:pPr>
              <w:spacing w:line="260" w:lineRule="exact"/>
              <w:jc w:val="center"/>
              <w:rPr>
                <w:rFonts w:ascii="宋体" w:hAnsi="宋体" w:eastAsia="宋体" w:cs="宋体"/>
                <w:color w:val="auto"/>
                <w:sz w:val="18"/>
                <w:szCs w:val="18"/>
                <w:highlight w:val="none"/>
              </w:rPr>
            </w:pPr>
          </w:p>
        </w:tc>
        <w:tc>
          <w:tcPr>
            <w:tcW w:w="614" w:type="dxa"/>
            <w:noWrap w:val="0"/>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证券投资</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内部控制</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L</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国际结算</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会计专业英语</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hint="eastAsia"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M</w:t>
            </w: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人力资源管理</w:t>
            </w:r>
          </w:p>
        </w:tc>
        <w:tc>
          <w:tcPr>
            <w:tcW w:w="614" w:type="dxa"/>
            <w:vAlign w:val="center"/>
          </w:tcPr>
          <w:p>
            <w:pPr>
              <w:jc w:val="center"/>
              <w:rPr>
                <w:color w:val="auto"/>
                <w:highlight w:val="none"/>
              </w:rPr>
            </w:pPr>
          </w:p>
        </w:tc>
        <w:tc>
          <w:tcPr>
            <w:tcW w:w="614" w:type="dxa"/>
            <w:vAlign w:val="center"/>
          </w:tcPr>
          <w:p>
            <w:pPr>
              <w:jc w:val="center"/>
              <w:rPr>
                <w:rFonts w:ascii="宋体" w:hAnsi="宋体" w:eastAsia="宋体" w:cs="宋体"/>
                <w:color w:val="auto"/>
                <w:sz w:val="18"/>
                <w:szCs w:val="18"/>
                <w:highlight w:val="none"/>
              </w:rPr>
            </w:pPr>
          </w:p>
        </w:tc>
        <w:tc>
          <w:tcPr>
            <w:tcW w:w="614" w:type="dxa"/>
            <w:vAlign w:val="center"/>
          </w:tcPr>
          <w:p>
            <w:pPr>
              <w:jc w:val="center"/>
              <w:rPr>
                <w:rFonts w:ascii="宋体" w:hAnsi="宋体" w:eastAsia="宋体" w:cs="宋体"/>
                <w:color w:val="auto"/>
                <w:sz w:val="18"/>
                <w:szCs w:val="18"/>
                <w:highlight w:val="none"/>
              </w:rPr>
            </w:pPr>
          </w:p>
        </w:tc>
        <w:tc>
          <w:tcPr>
            <w:tcW w:w="614" w:type="dxa"/>
            <w:vAlign w:val="center"/>
          </w:tcPr>
          <w:p>
            <w:pPr>
              <w:jc w:val="center"/>
              <w:rPr>
                <w:rFonts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15" w:type="dxa"/>
            <w:vAlign w:val="center"/>
          </w:tcPr>
          <w:p>
            <w:pPr>
              <w:jc w:val="center"/>
              <w:rPr>
                <w:rFonts w:ascii="宋体" w:hAnsi="宋体" w:eastAsia="宋体" w:cs="宋体"/>
                <w:color w:val="auto"/>
                <w:sz w:val="18"/>
                <w:szCs w:val="18"/>
                <w:highlight w:val="none"/>
              </w:rPr>
            </w:pPr>
            <w:r>
              <w:rPr>
                <w:rFonts w:hint="eastAsia" w:asciiTheme="minorEastAsia" w:hAnsiTheme="minorEastAsia" w:cstheme="minorEastAsia"/>
                <w:color w:val="auto"/>
                <w:kern w:val="2"/>
                <w:sz w:val="18"/>
                <w:szCs w:val="18"/>
                <w:highlight w:val="none"/>
                <w:lang w:val="en-US" w:eastAsia="zh-CN" w:bidi="ar-SA"/>
              </w:rPr>
              <w:t>M</w:t>
            </w:r>
          </w:p>
        </w:tc>
        <w:tc>
          <w:tcPr>
            <w:tcW w:w="614" w:type="dxa"/>
            <w:vAlign w:val="center"/>
          </w:tcPr>
          <w:p>
            <w:pPr>
              <w:jc w:val="center"/>
              <w:rPr>
                <w:rFonts w:ascii="宋体" w:hAnsi="宋体" w:eastAsia="宋体" w:cs="宋体"/>
                <w:color w:val="auto"/>
                <w:sz w:val="18"/>
                <w:szCs w:val="18"/>
                <w:highlight w:val="none"/>
              </w:rPr>
            </w:pPr>
          </w:p>
        </w:tc>
        <w:tc>
          <w:tcPr>
            <w:tcW w:w="614" w:type="dxa"/>
            <w:vAlign w:val="center"/>
          </w:tcPr>
          <w:p>
            <w:pPr>
              <w:jc w:val="center"/>
              <w:rPr>
                <w:rFonts w:ascii="宋体" w:hAnsi="宋体" w:eastAsia="宋体" w:cs="宋体"/>
                <w:color w:val="auto"/>
                <w:sz w:val="18"/>
                <w:szCs w:val="18"/>
                <w:highlight w:val="none"/>
              </w:rPr>
            </w:pPr>
          </w:p>
        </w:tc>
        <w:tc>
          <w:tcPr>
            <w:tcW w:w="614" w:type="dxa"/>
            <w:vAlign w:val="center"/>
          </w:tcPr>
          <w:p>
            <w:pPr>
              <w:jc w:val="center"/>
              <w:rPr>
                <w:rFonts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公司战略与风险管理</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电子商务</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企业价值评估</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Pr>
          <w:p>
            <w:pPr>
              <w:rPr>
                <w:rFonts w:ascii="宋体" w:hAnsi="宋体" w:cs="宋体"/>
                <w:color w:val="auto"/>
                <w:sz w:val="18"/>
                <w:szCs w:val="18"/>
                <w:highlight w:val="none"/>
              </w:rPr>
            </w:pPr>
            <w:r>
              <w:rPr>
                <w:rFonts w:hint="eastAsia" w:ascii="宋体" w:hAnsi="宋体" w:eastAsia="宋体"/>
                <w:color w:val="auto"/>
                <w:sz w:val="18"/>
                <w:szCs w:val="18"/>
                <w:highlight w:val="none"/>
              </w:rPr>
              <w:t>投资与理财</w:t>
            </w:r>
          </w:p>
        </w:tc>
        <w:tc>
          <w:tcPr>
            <w:tcW w:w="614" w:type="dxa"/>
            <w:vAlign w:val="center"/>
          </w:tcPr>
          <w:p>
            <w:pPr>
              <w:jc w:val="center"/>
              <w:rPr>
                <w:rFonts w:asciiTheme="minorEastAsia" w:hAnsiTheme="minorEastAsia" w:cstheme="minorEastAsia"/>
                <w:color w:val="auto"/>
                <w:sz w:val="18"/>
                <w:szCs w:val="18"/>
                <w:highlight w:val="none"/>
              </w:rPr>
            </w:pPr>
          </w:p>
        </w:tc>
        <w:tc>
          <w:tcPr>
            <w:tcW w:w="614" w:type="dxa"/>
            <w:vAlign w:val="center"/>
          </w:tcPr>
          <w:p>
            <w:pPr>
              <w:jc w:val="center"/>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M</w:t>
            </w:r>
          </w:p>
        </w:tc>
        <w:tc>
          <w:tcPr>
            <w:tcW w:w="614" w:type="dxa"/>
            <w:vAlign w:val="center"/>
          </w:tcPr>
          <w:p>
            <w:pPr>
              <w:jc w:val="center"/>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L</w:t>
            </w:r>
          </w:p>
        </w:tc>
        <w:tc>
          <w:tcPr>
            <w:tcW w:w="614" w:type="dxa"/>
            <w:vAlign w:val="center"/>
          </w:tcPr>
          <w:p>
            <w:pPr>
              <w:jc w:val="center"/>
              <w:rPr>
                <w:rFonts w:asciiTheme="minorEastAsia" w:hAnsiTheme="minorEastAsia" w:cstheme="minorEastAsia"/>
                <w:color w:val="auto"/>
                <w:sz w:val="18"/>
                <w:szCs w:val="18"/>
                <w:highlight w:val="none"/>
              </w:rPr>
            </w:pPr>
          </w:p>
        </w:tc>
        <w:tc>
          <w:tcPr>
            <w:tcW w:w="615" w:type="dxa"/>
            <w:vAlign w:val="center"/>
          </w:tcPr>
          <w:p>
            <w:pPr>
              <w:jc w:val="center"/>
              <w:rPr>
                <w:rFonts w:asciiTheme="minorEastAsia" w:hAnsiTheme="minorEastAsia" w:cstheme="minorEastAsia"/>
                <w:color w:val="auto"/>
                <w:sz w:val="18"/>
                <w:szCs w:val="18"/>
                <w:highlight w:val="none"/>
              </w:rPr>
            </w:pPr>
          </w:p>
        </w:tc>
        <w:tc>
          <w:tcPr>
            <w:tcW w:w="614" w:type="dxa"/>
            <w:vAlign w:val="center"/>
          </w:tcPr>
          <w:p>
            <w:pPr>
              <w:jc w:val="center"/>
              <w:rPr>
                <w:rFonts w:asciiTheme="minorEastAsia" w:hAnsiTheme="minorEastAsia" w:cstheme="minorEastAsia"/>
                <w:color w:val="auto"/>
                <w:sz w:val="18"/>
                <w:szCs w:val="18"/>
                <w:highlight w:val="none"/>
              </w:rPr>
            </w:pPr>
          </w:p>
        </w:tc>
        <w:tc>
          <w:tcPr>
            <w:tcW w:w="614" w:type="dxa"/>
            <w:vAlign w:val="center"/>
          </w:tcPr>
          <w:p>
            <w:pPr>
              <w:jc w:val="center"/>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M</w:t>
            </w:r>
          </w:p>
        </w:tc>
        <w:tc>
          <w:tcPr>
            <w:tcW w:w="614" w:type="dxa"/>
            <w:vAlign w:val="center"/>
          </w:tcPr>
          <w:p>
            <w:pPr>
              <w:jc w:val="center"/>
              <w:rPr>
                <w:rFonts w:asciiTheme="minorEastAsia" w:hAnsiTheme="minorEastAsia" w:cs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kinsoku/>
              <w:wordWrap/>
              <w:overflowPunct/>
              <w:topLinePunct w:val="0"/>
              <w:autoSpaceDE/>
              <w:autoSpaceDN/>
              <w:bidi w:val="0"/>
              <w:adjustRightInd/>
              <w:spacing w:line="240" w:lineRule="auto"/>
              <w:jc w:val="left"/>
              <w:rPr>
                <w:rFonts w:hint="default"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论文设计与写作</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default" w:ascii="宋体" w:hAnsi="宋体" w:cs="宋体"/>
                <w:color w:val="auto"/>
                <w:kern w:val="2"/>
                <w:sz w:val="18"/>
                <w:szCs w:val="18"/>
                <w:highlight w:val="none"/>
                <w:lang w:val="en-US" w:eastAsia="zh-CN" w:bidi="ar-SA"/>
              </w:rPr>
            </w:pPr>
            <w:r>
              <w:rPr>
                <w:rFonts w:hint="eastAsia" w:ascii="宋体" w:hAnsi="宋体" w:cs="宋体"/>
                <w:color w:val="auto"/>
                <w:kern w:val="2"/>
                <w:sz w:val="18"/>
                <w:szCs w:val="18"/>
                <w:highlight w:val="none"/>
                <w:lang w:val="en-US" w:eastAsia="zh-CN" w:bidi="ar-SA"/>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auto"/>
                <w:kern w:val="2"/>
                <w:sz w:val="24"/>
                <w:szCs w:val="24"/>
                <w:highlight w:val="none"/>
                <w:lang w:val="en-US" w:eastAsia="zh-CN" w:bidi="ar-SA"/>
              </w:rPr>
            </w:pPr>
            <w:r>
              <w:rPr>
                <w:rFonts w:hint="eastAsia" w:ascii="宋体" w:hAnsi="宋体" w:cs="宋体"/>
                <w:color w:val="auto"/>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入学教育、军事技能</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专业与公益劳动</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大学生体质健康测试</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思想政治理论课实践教学</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cs="宋体" w:asciiTheme="minorEastAsia" w:hAnsiTheme="minorEastAsia"/>
                <w:color w:val="auto"/>
                <w:sz w:val="18"/>
                <w:szCs w:val="18"/>
                <w:highlight w:val="none"/>
              </w:rPr>
              <w:t>《大学生职业生涯发展与就业指导》实践教学</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社会实践与调查报告</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创新创业实践教学</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普通话水平测试</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毕业教育</w:t>
            </w:r>
          </w:p>
        </w:tc>
        <w:tc>
          <w:tcPr>
            <w:tcW w:w="614" w:type="dxa"/>
            <w:vAlign w:val="center"/>
          </w:tcPr>
          <w:p>
            <w:pPr>
              <w:spacing w:line="260" w:lineRule="exact"/>
              <w:jc w:val="center"/>
              <w:rPr>
                <w:color w:val="auto"/>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会计手工模拟教学实习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经济学教学实习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会计计算机模拟实习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财务管理教学实习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成本会计教学实习</w:t>
            </w:r>
          </w:p>
        </w:tc>
        <w:tc>
          <w:tcPr>
            <w:tcW w:w="614"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ERP模拟实习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计算机财务管理教学实习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管理会计教学实习</w:t>
            </w:r>
          </w:p>
        </w:tc>
        <w:tc>
          <w:tcPr>
            <w:tcW w:w="614" w:type="dxa"/>
            <w:vAlign w:val="center"/>
          </w:tcPr>
          <w:p>
            <w:pPr>
              <w:spacing w:line="26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14"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15" w:type="dxa"/>
            <w:vAlign w:val="center"/>
          </w:tcPr>
          <w:p>
            <w:pPr>
              <w:spacing w:line="26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财务数据可视化实训</w:t>
            </w:r>
          </w:p>
        </w:tc>
        <w:tc>
          <w:tcPr>
            <w:tcW w:w="614"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14" w:type="dxa"/>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M</w:t>
            </w:r>
          </w:p>
        </w:tc>
        <w:tc>
          <w:tcPr>
            <w:tcW w:w="614"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14"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M</w:t>
            </w:r>
          </w:p>
        </w:tc>
        <w:tc>
          <w:tcPr>
            <w:tcW w:w="615"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614" w:type="dxa"/>
            <w:vAlign w:val="center"/>
          </w:tcPr>
          <w:p>
            <w:pPr>
              <w:jc w:val="center"/>
              <w:rPr>
                <w:rFonts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H</w:t>
            </w:r>
          </w:p>
        </w:tc>
        <w:tc>
          <w:tcPr>
            <w:tcW w:w="614"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H</w:t>
            </w:r>
          </w:p>
        </w:tc>
        <w:tc>
          <w:tcPr>
            <w:tcW w:w="614"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电算会计教学实习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审计教学实习</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税务会计教学实习</w:t>
            </w:r>
          </w:p>
        </w:tc>
        <w:tc>
          <w:tcPr>
            <w:tcW w:w="614" w:type="dxa"/>
            <w:vAlign w:val="center"/>
          </w:tcPr>
          <w:p>
            <w:pPr>
              <w:spacing w:line="26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14"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15" w:type="dxa"/>
            <w:vAlign w:val="center"/>
          </w:tcPr>
          <w:p>
            <w:pPr>
              <w:spacing w:line="26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企业运营仿真综合实训</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毕业实习及报告</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毕业论文（设计）</w:t>
            </w:r>
          </w:p>
        </w:tc>
        <w:tc>
          <w:tcPr>
            <w:tcW w:w="614" w:type="dxa"/>
            <w:vAlign w:val="center"/>
          </w:tcPr>
          <w:p>
            <w:pPr>
              <w:spacing w:line="260" w:lineRule="exact"/>
              <w:jc w:val="center"/>
              <w:rPr>
                <w:color w:val="auto"/>
                <w:highlight w:val="none"/>
              </w:rPr>
            </w:pPr>
            <w:r>
              <w:rPr>
                <w:rFonts w:hint="eastAsia" w:ascii="宋体" w:hAnsi="宋体" w:eastAsia="宋体" w:cs="宋体"/>
                <w:color w:val="auto"/>
                <w:sz w:val="18"/>
                <w:szCs w:val="18"/>
                <w:highlight w:val="none"/>
              </w:rPr>
              <w:t>M</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5"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14" w:type="dxa"/>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bl>
    <w:p>
      <w:pPr>
        <w:spacing w:line="460" w:lineRule="exact"/>
        <w:ind w:firstLine="360" w:firstLineChars="20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三、主干学科</w:t>
      </w:r>
    </w:p>
    <w:p>
      <w:pPr>
        <w:spacing w:line="460" w:lineRule="exact"/>
        <w:ind w:firstLine="480" w:firstLineChars="200"/>
        <w:rPr>
          <w:b/>
          <w:color w:val="auto"/>
          <w:sz w:val="28"/>
          <w:szCs w:val="28"/>
          <w:highlight w:val="none"/>
        </w:rPr>
      </w:pPr>
      <w:r>
        <w:rPr>
          <w:rFonts w:hint="eastAsia"/>
          <w:color w:val="auto"/>
          <w:sz w:val="24"/>
          <w:highlight w:val="none"/>
        </w:rPr>
        <w:t>经济学、工商管理</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四、核心课程</w:t>
      </w:r>
    </w:p>
    <w:p>
      <w:pPr>
        <w:spacing w:line="460" w:lineRule="exact"/>
        <w:ind w:firstLine="480" w:firstLineChars="200"/>
        <w:rPr>
          <w:rFonts w:hint="eastAsia"/>
          <w:color w:val="auto"/>
          <w:sz w:val="24"/>
          <w:highlight w:val="none"/>
        </w:rPr>
      </w:pPr>
      <w:r>
        <w:rPr>
          <w:rFonts w:hint="eastAsia"/>
          <w:color w:val="auto"/>
          <w:sz w:val="24"/>
          <w:highlight w:val="none"/>
        </w:rPr>
        <w:t>管理学、微观经济学、宏观经济学、经济法、基础会计、统计学、财务会计、财务管理、</w:t>
      </w:r>
      <w:r>
        <w:rPr>
          <w:rFonts w:hint="eastAsia"/>
          <w:color w:val="auto"/>
          <w:sz w:val="24"/>
          <w:highlight w:val="none"/>
          <w:lang w:val="en-US" w:eastAsia="zh-CN"/>
        </w:rPr>
        <w:t>成本会计、</w:t>
      </w:r>
      <w:r>
        <w:rPr>
          <w:rFonts w:hint="eastAsia"/>
          <w:color w:val="auto"/>
          <w:sz w:val="24"/>
          <w:highlight w:val="none"/>
        </w:rPr>
        <w:t>管理会计、审计学、计算机财务管理、税务会计与税收筹划、电算会计、</w:t>
      </w:r>
      <w:r>
        <w:rPr>
          <w:rFonts w:hint="eastAsia"/>
          <w:color w:val="auto"/>
          <w:sz w:val="24"/>
          <w:highlight w:val="none"/>
          <w:lang w:val="en-US" w:eastAsia="zh-CN"/>
        </w:rPr>
        <w:t>财务分析</w:t>
      </w:r>
    </w:p>
    <w:p>
      <w:pPr>
        <w:numPr>
          <w:ilvl w:val="0"/>
          <w:numId w:val="3"/>
        </w:num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主要实践性教学环节</w:t>
      </w:r>
    </w:p>
    <w:p>
      <w:pPr>
        <w:spacing w:line="460" w:lineRule="exact"/>
        <w:ind w:firstLine="480" w:firstLineChars="200"/>
        <w:rPr>
          <w:color w:val="auto"/>
          <w:sz w:val="24"/>
          <w:highlight w:val="none"/>
        </w:rPr>
      </w:pPr>
      <w:r>
        <w:rPr>
          <w:rFonts w:hint="eastAsia"/>
          <w:color w:val="auto"/>
          <w:sz w:val="24"/>
          <w:highlight w:val="none"/>
        </w:rPr>
        <w:t>会计手工模拟教学实习、经济学教学实习、会计计算机模拟实习、财务管理教学实习、ERP模拟实习、计算机财务管理教学实习、电算会计教学实习、成本会计教学实习</w:t>
      </w:r>
      <w:r>
        <w:rPr>
          <w:rFonts w:hint="eastAsia"/>
          <w:color w:val="auto"/>
          <w:sz w:val="24"/>
          <w:highlight w:val="none"/>
          <w:lang w:eastAsia="zh-CN"/>
        </w:rPr>
        <w:t>、</w:t>
      </w:r>
      <w:r>
        <w:rPr>
          <w:rFonts w:hint="eastAsia"/>
          <w:color w:val="auto"/>
          <w:sz w:val="24"/>
          <w:highlight w:val="none"/>
        </w:rPr>
        <w:t>管理会计教学实习</w:t>
      </w:r>
      <w:r>
        <w:rPr>
          <w:rFonts w:hint="eastAsia"/>
          <w:color w:val="auto"/>
          <w:sz w:val="24"/>
          <w:highlight w:val="none"/>
          <w:lang w:eastAsia="zh-CN"/>
        </w:rPr>
        <w:t>、财务数据可视化</w:t>
      </w:r>
      <w:r>
        <w:rPr>
          <w:rFonts w:hint="eastAsia"/>
          <w:color w:val="auto"/>
          <w:sz w:val="24"/>
          <w:highlight w:val="none"/>
          <w:lang w:val="en-US" w:eastAsia="zh-CN"/>
        </w:rPr>
        <w:t>实训</w:t>
      </w:r>
      <w:r>
        <w:rPr>
          <w:rFonts w:hint="eastAsia"/>
          <w:color w:val="auto"/>
          <w:sz w:val="24"/>
          <w:highlight w:val="none"/>
          <w:lang w:eastAsia="zh-CN"/>
        </w:rPr>
        <w:t>、税务会计教学实习、</w:t>
      </w:r>
      <w:r>
        <w:rPr>
          <w:rFonts w:hint="eastAsia"/>
          <w:color w:val="auto"/>
          <w:sz w:val="24"/>
          <w:highlight w:val="none"/>
        </w:rPr>
        <w:t>审计教学实习、企业运营仿真综合实训</w:t>
      </w:r>
    </w:p>
    <w:p>
      <w:pPr>
        <w:numPr>
          <w:ilvl w:val="0"/>
          <w:numId w:val="3"/>
        </w:num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主要专业实验</w:t>
      </w:r>
    </w:p>
    <w:p>
      <w:pPr>
        <w:spacing w:line="460" w:lineRule="exact"/>
        <w:ind w:firstLine="480" w:firstLineChars="200"/>
        <w:rPr>
          <w:rFonts w:asciiTheme="minorEastAsia" w:hAnsiTheme="minorEastAsia" w:cstheme="minorEastAsia"/>
          <w:color w:val="auto"/>
          <w:sz w:val="24"/>
          <w:highlight w:val="none"/>
        </w:rPr>
      </w:pPr>
      <w:r>
        <w:rPr>
          <w:rFonts w:hint="eastAsia"/>
          <w:color w:val="auto"/>
          <w:sz w:val="24"/>
          <w:highlight w:val="none"/>
          <w:lang w:val="en-US" w:eastAsia="zh-CN"/>
        </w:rPr>
        <w:t>统计学</w:t>
      </w:r>
      <w:r>
        <w:rPr>
          <w:rFonts w:hint="eastAsia"/>
          <w:color w:val="auto"/>
          <w:sz w:val="24"/>
          <w:highlight w:val="none"/>
        </w:rPr>
        <w:t>实验（课内）、</w:t>
      </w:r>
      <w:r>
        <w:rPr>
          <w:rFonts w:hint="eastAsia"/>
          <w:color w:val="auto"/>
          <w:sz w:val="24"/>
          <w:highlight w:val="none"/>
          <w:lang w:val="en-US" w:eastAsia="zh-CN"/>
        </w:rPr>
        <w:t>市场营销</w:t>
      </w:r>
      <w:r>
        <w:rPr>
          <w:rFonts w:hint="eastAsia"/>
          <w:color w:val="auto"/>
          <w:sz w:val="24"/>
          <w:highlight w:val="none"/>
        </w:rPr>
        <w:t>实验（课内）、电算会计实验、审计实验（课内）</w:t>
      </w:r>
    </w:p>
    <w:p>
      <w:pPr>
        <w:numPr>
          <w:ilvl w:val="0"/>
          <w:numId w:val="3"/>
        </w:num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修业年限</w:t>
      </w:r>
    </w:p>
    <w:p>
      <w:pPr>
        <w:spacing w:line="460" w:lineRule="exact"/>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基本学制：四年</w:t>
      </w:r>
    </w:p>
    <w:p>
      <w:pPr>
        <w:spacing w:line="460" w:lineRule="exact"/>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最长学习年限：八年</w:t>
      </w:r>
    </w:p>
    <w:p>
      <w:pPr>
        <w:numPr>
          <w:ilvl w:val="0"/>
          <w:numId w:val="3"/>
        </w:num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授予学位</w:t>
      </w:r>
    </w:p>
    <w:p>
      <w:pPr>
        <w:spacing w:line="460" w:lineRule="exact"/>
        <w:ind w:firstLine="480" w:firstLineChars="200"/>
        <w:rPr>
          <w:color w:val="auto"/>
          <w:kern w:val="0"/>
          <w:sz w:val="24"/>
          <w:highlight w:val="none"/>
        </w:rPr>
      </w:pPr>
      <w:r>
        <w:rPr>
          <w:rFonts w:hint="eastAsia"/>
          <w:color w:val="auto"/>
          <w:kern w:val="0"/>
          <w:sz w:val="24"/>
          <w:highlight w:val="none"/>
        </w:rPr>
        <w:t>管理学学士</w:t>
      </w:r>
    </w:p>
    <w:p>
      <w:pPr>
        <w:numPr>
          <w:ilvl w:val="0"/>
          <w:numId w:val="3"/>
        </w:num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全学程时间分配</w:t>
      </w:r>
    </w:p>
    <w:p>
      <w:pPr>
        <w:spacing w:line="440" w:lineRule="exact"/>
        <w:ind w:left="420" w:leftChars="200"/>
        <w:jc w:val="left"/>
        <w:rPr>
          <w:color w:val="auto"/>
          <w:szCs w:val="21"/>
          <w:highlight w:val="none"/>
        </w:rPr>
      </w:pPr>
      <w:r>
        <w:rPr>
          <w:rFonts w:hint="eastAsia" w:asciiTheme="minorEastAsia" w:hAnsiTheme="minorEastAsia" w:cstheme="minorEastAsia"/>
          <w:color w:val="auto"/>
          <w:szCs w:val="21"/>
          <w:highlight w:val="none"/>
        </w:rPr>
        <w:t>表2                                                           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133" w:type="dxa"/>
            <w:vMerge w:val="restart"/>
            <w:vAlign w:val="center"/>
          </w:tcPr>
          <w:p>
            <w:pPr>
              <w:widowControl/>
              <w:spacing w:line="440" w:lineRule="exact"/>
              <w:jc w:val="center"/>
              <w:rPr>
                <w:color w:val="auto"/>
                <w:kern w:val="0"/>
                <w:szCs w:val="21"/>
                <w:highlight w:val="none"/>
              </w:rPr>
            </w:pPr>
            <w:r>
              <w:rPr>
                <w:rFonts w:hint="eastAsia"/>
                <w:color w:val="auto"/>
                <w:kern w:val="0"/>
                <w:szCs w:val="21"/>
                <w:highlight w:val="none"/>
              </w:rPr>
              <w:t>全学程</w:t>
            </w:r>
          </w:p>
        </w:tc>
        <w:tc>
          <w:tcPr>
            <w:tcW w:w="8221" w:type="dxa"/>
            <w:gridSpan w:val="7"/>
            <w:vAlign w:val="center"/>
          </w:tcPr>
          <w:p>
            <w:pPr>
              <w:widowControl/>
              <w:spacing w:line="440" w:lineRule="exact"/>
              <w:jc w:val="center"/>
              <w:rPr>
                <w:color w:val="auto"/>
                <w:kern w:val="0"/>
                <w:szCs w:val="21"/>
                <w:highlight w:val="none"/>
              </w:rPr>
            </w:pPr>
            <w:r>
              <w:rPr>
                <w:rFonts w:hint="eastAsia"/>
                <w:color w:val="auto"/>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jc w:val="center"/>
        </w:trPr>
        <w:tc>
          <w:tcPr>
            <w:tcW w:w="1133" w:type="dxa"/>
            <w:vMerge w:val="continue"/>
            <w:vAlign w:val="center"/>
          </w:tcPr>
          <w:p>
            <w:pPr>
              <w:widowControl/>
              <w:spacing w:line="440" w:lineRule="exact"/>
              <w:jc w:val="left"/>
              <w:rPr>
                <w:color w:val="auto"/>
                <w:kern w:val="0"/>
                <w:szCs w:val="21"/>
                <w:highlight w:val="none"/>
              </w:rPr>
            </w:pPr>
          </w:p>
        </w:tc>
        <w:tc>
          <w:tcPr>
            <w:tcW w:w="965" w:type="dxa"/>
            <w:vAlign w:val="center"/>
          </w:tcPr>
          <w:p>
            <w:pPr>
              <w:widowControl/>
              <w:spacing w:line="440" w:lineRule="exact"/>
              <w:jc w:val="center"/>
              <w:rPr>
                <w:color w:val="auto"/>
                <w:kern w:val="0"/>
                <w:szCs w:val="21"/>
                <w:highlight w:val="none"/>
              </w:rPr>
            </w:pPr>
            <w:r>
              <w:rPr>
                <w:rFonts w:hint="eastAsia"/>
                <w:color w:val="auto"/>
                <w:kern w:val="0"/>
                <w:szCs w:val="21"/>
                <w:highlight w:val="none"/>
              </w:rPr>
              <w:t>理论</w:t>
            </w:r>
          </w:p>
          <w:p>
            <w:pPr>
              <w:widowControl/>
              <w:spacing w:line="440" w:lineRule="exact"/>
              <w:jc w:val="center"/>
              <w:rPr>
                <w:color w:val="auto"/>
                <w:kern w:val="0"/>
                <w:szCs w:val="21"/>
                <w:highlight w:val="none"/>
              </w:rPr>
            </w:pPr>
            <w:r>
              <w:rPr>
                <w:rFonts w:hint="eastAsia"/>
                <w:color w:val="auto"/>
                <w:kern w:val="0"/>
                <w:szCs w:val="21"/>
                <w:highlight w:val="none"/>
              </w:rPr>
              <w:t>教学</w:t>
            </w:r>
          </w:p>
        </w:tc>
        <w:tc>
          <w:tcPr>
            <w:tcW w:w="966" w:type="dxa"/>
            <w:vAlign w:val="center"/>
          </w:tcPr>
          <w:p>
            <w:pPr>
              <w:widowControl/>
              <w:spacing w:line="440" w:lineRule="exact"/>
              <w:jc w:val="center"/>
              <w:rPr>
                <w:color w:val="auto"/>
                <w:kern w:val="0"/>
                <w:szCs w:val="21"/>
                <w:highlight w:val="none"/>
              </w:rPr>
            </w:pPr>
            <w:r>
              <w:rPr>
                <w:rFonts w:hint="eastAsia"/>
                <w:color w:val="auto"/>
                <w:kern w:val="0"/>
                <w:szCs w:val="21"/>
                <w:highlight w:val="none"/>
              </w:rPr>
              <w:t>教学</w:t>
            </w:r>
          </w:p>
          <w:p>
            <w:pPr>
              <w:widowControl/>
              <w:spacing w:line="440" w:lineRule="exact"/>
              <w:jc w:val="center"/>
              <w:rPr>
                <w:color w:val="auto"/>
                <w:kern w:val="0"/>
                <w:szCs w:val="21"/>
                <w:highlight w:val="none"/>
              </w:rPr>
            </w:pPr>
            <w:r>
              <w:rPr>
                <w:rFonts w:hint="eastAsia"/>
                <w:color w:val="auto"/>
                <w:kern w:val="0"/>
                <w:szCs w:val="21"/>
                <w:highlight w:val="none"/>
              </w:rPr>
              <w:t>实习</w:t>
            </w:r>
          </w:p>
        </w:tc>
        <w:tc>
          <w:tcPr>
            <w:tcW w:w="1335" w:type="dxa"/>
            <w:vAlign w:val="center"/>
          </w:tcPr>
          <w:p>
            <w:pPr>
              <w:widowControl/>
              <w:spacing w:line="440" w:lineRule="exact"/>
              <w:jc w:val="center"/>
              <w:rPr>
                <w:color w:val="auto"/>
                <w:kern w:val="0"/>
                <w:szCs w:val="21"/>
                <w:highlight w:val="none"/>
              </w:rPr>
            </w:pPr>
            <w:r>
              <w:rPr>
                <w:rFonts w:hint="eastAsia"/>
                <w:color w:val="auto"/>
                <w:kern w:val="0"/>
                <w:szCs w:val="21"/>
                <w:highlight w:val="none"/>
              </w:rPr>
              <w:t>专业与公益劳动</w:t>
            </w:r>
          </w:p>
        </w:tc>
        <w:tc>
          <w:tcPr>
            <w:tcW w:w="1967" w:type="dxa"/>
            <w:vAlign w:val="center"/>
          </w:tcPr>
          <w:p>
            <w:pPr>
              <w:widowControl/>
              <w:spacing w:line="440" w:lineRule="exact"/>
              <w:jc w:val="center"/>
              <w:rPr>
                <w:color w:val="auto"/>
                <w:kern w:val="0"/>
                <w:szCs w:val="21"/>
                <w:highlight w:val="none"/>
              </w:rPr>
            </w:pPr>
            <w:r>
              <w:rPr>
                <w:rFonts w:hint="eastAsia"/>
                <w:color w:val="auto"/>
                <w:kern w:val="0"/>
                <w:szCs w:val="21"/>
                <w:highlight w:val="none"/>
              </w:rPr>
              <w:t>入学教育、军事技能、毕业教育</w:t>
            </w:r>
          </w:p>
        </w:tc>
        <w:tc>
          <w:tcPr>
            <w:tcW w:w="1278" w:type="dxa"/>
            <w:vAlign w:val="center"/>
          </w:tcPr>
          <w:p>
            <w:pPr>
              <w:widowControl/>
              <w:spacing w:line="440" w:lineRule="exact"/>
              <w:jc w:val="center"/>
              <w:rPr>
                <w:color w:val="auto"/>
                <w:kern w:val="0"/>
                <w:szCs w:val="21"/>
                <w:highlight w:val="none"/>
              </w:rPr>
            </w:pPr>
            <w:r>
              <w:rPr>
                <w:rFonts w:hint="eastAsia"/>
                <w:color w:val="auto"/>
                <w:kern w:val="0"/>
                <w:szCs w:val="21"/>
                <w:highlight w:val="none"/>
              </w:rPr>
              <w:t>毕业实习</w:t>
            </w:r>
          </w:p>
        </w:tc>
        <w:tc>
          <w:tcPr>
            <w:tcW w:w="853" w:type="dxa"/>
            <w:vAlign w:val="center"/>
          </w:tcPr>
          <w:p>
            <w:pPr>
              <w:widowControl/>
              <w:spacing w:line="440" w:lineRule="exact"/>
              <w:jc w:val="center"/>
              <w:rPr>
                <w:color w:val="auto"/>
                <w:kern w:val="0"/>
                <w:szCs w:val="21"/>
                <w:highlight w:val="none"/>
              </w:rPr>
            </w:pPr>
            <w:r>
              <w:rPr>
                <w:rFonts w:hint="eastAsia"/>
                <w:color w:val="auto"/>
                <w:kern w:val="0"/>
                <w:szCs w:val="21"/>
                <w:highlight w:val="none"/>
              </w:rPr>
              <w:t>机动</w:t>
            </w:r>
          </w:p>
        </w:tc>
        <w:tc>
          <w:tcPr>
            <w:tcW w:w="857" w:type="dxa"/>
            <w:vAlign w:val="center"/>
          </w:tcPr>
          <w:p>
            <w:pPr>
              <w:widowControl/>
              <w:spacing w:line="440" w:lineRule="exact"/>
              <w:jc w:val="center"/>
              <w:rPr>
                <w:color w:val="auto"/>
                <w:kern w:val="0"/>
                <w:szCs w:val="21"/>
                <w:highlight w:val="none"/>
              </w:rPr>
            </w:pPr>
            <w:r>
              <w:rPr>
                <w:rFonts w:hint="eastAsia"/>
                <w:color w:val="auto"/>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133" w:type="dxa"/>
            <w:vAlign w:val="center"/>
          </w:tcPr>
          <w:p>
            <w:pPr>
              <w:widowControl/>
              <w:spacing w:line="460" w:lineRule="exact"/>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203</w:t>
            </w:r>
          </w:p>
        </w:tc>
        <w:tc>
          <w:tcPr>
            <w:tcW w:w="965" w:type="dxa"/>
            <w:vAlign w:val="center"/>
          </w:tcPr>
          <w:p>
            <w:pPr>
              <w:widowControl/>
              <w:spacing w:line="4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66" w:type="dxa"/>
            <w:vAlign w:val="center"/>
          </w:tcPr>
          <w:p>
            <w:pPr>
              <w:widowControl/>
              <w:spacing w:line="4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5</w:t>
            </w:r>
          </w:p>
        </w:tc>
        <w:tc>
          <w:tcPr>
            <w:tcW w:w="1335" w:type="dxa"/>
            <w:vAlign w:val="center"/>
          </w:tcPr>
          <w:p>
            <w:pPr>
              <w:widowControl/>
              <w:spacing w:line="460" w:lineRule="exact"/>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（2）</w:t>
            </w:r>
          </w:p>
        </w:tc>
        <w:tc>
          <w:tcPr>
            <w:tcW w:w="1967" w:type="dxa"/>
            <w:vAlign w:val="center"/>
          </w:tcPr>
          <w:p>
            <w:pPr>
              <w:widowControl/>
              <w:spacing w:line="460" w:lineRule="exact"/>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2.5</w:t>
            </w:r>
          </w:p>
        </w:tc>
        <w:tc>
          <w:tcPr>
            <w:tcW w:w="1278" w:type="dxa"/>
            <w:vAlign w:val="center"/>
          </w:tcPr>
          <w:p>
            <w:pPr>
              <w:widowControl/>
              <w:spacing w:line="460" w:lineRule="exact"/>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37.5</w:t>
            </w:r>
          </w:p>
        </w:tc>
        <w:tc>
          <w:tcPr>
            <w:tcW w:w="853" w:type="dxa"/>
            <w:vAlign w:val="center"/>
          </w:tcPr>
          <w:p>
            <w:pPr>
              <w:widowControl/>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4</w:t>
            </w:r>
          </w:p>
        </w:tc>
        <w:tc>
          <w:tcPr>
            <w:tcW w:w="857" w:type="dxa"/>
            <w:vAlign w:val="center"/>
          </w:tcPr>
          <w:p>
            <w:pPr>
              <w:widowControl/>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42</w:t>
            </w:r>
          </w:p>
        </w:tc>
      </w:tr>
    </w:tbl>
    <w:p>
      <w:pPr>
        <w:numPr>
          <w:ilvl w:val="0"/>
          <w:numId w:val="3"/>
        </w:numPr>
        <w:spacing w:line="440" w:lineRule="exact"/>
        <w:ind w:left="420" w:left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毕业基本要求</w:t>
      </w:r>
    </w:p>
    <w:p>
      <w:pPr>
        <w:spacing w:line="440" w:lineRule="exact"/>
        <w:ind w:left="420" w:leftChars="200"/>
        <w:jc w:val="left"/>
        <w:rPr>
          <w:color w:val="auto"/>
          <w:szCs w:val="21"/>
          <w:highlight w:val="none"/>
        </w:rPr>
      </w:pPr>
      <w:r>
        <w:rPr>
          <w:rFonts w:hint="eastAsia" w:asciiTheme="minorEastAsia" w:hAnsiTheme="minorEastAsia" w:cstheme="minorEastAsia"/>
          <w:color w:val="auto"/>
          <w:szCs w:val="21"/>
          <w:highlight w:val="none"/>
        </w:rPr>
        <w:t>表3                                                           财务管理专业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2320"/>
        <w:gridCol w:w="828"/>
        <w:gridCol w:w="886"/>
        <w:gridCol w:w="1341"/>
        <w:gridCol w:w="812"/>
        <w:gridCol w:w="933"/>
        <w:gridCol w:w="11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1122"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4034" w:type="dxa"/>
            <w:gridSpan w:val="3"/>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3086" w:type="dxa"/>
            <w:gridSpan w:val="3"/>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112"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20"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8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34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812"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933"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112" w:type="dxa"/>
            <w:vMerge w:val="restart"/>
            <w:tcBorders>
              <w:tl2br w:val="nil"/>
              <w:tr2bl w:val="nil"/>
            </w:tcBorders>
            <w:vAlign w:val="center"/>
          </w:tcPr>
          <w:p>
            <w:pPr>
              <w:pStyle w:val="16"/>
              <w:spacing w:line="440" w:lineRule="exact"/>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17</w:t>
            </w:r>
            <w:r>
              <w:rPr>
                <w:rFonts w:hint="eastAsia" w:ascii="宋体" w:hAnsi="宋体" w:eastAsia="宋体" w:cs="宋体"/>
                <w:color w:val="auto"/>
                <w:kern w:val="2"/>
                <w:sz w:val="21"/>
                <w:szCs w:val="21"/>
                <w:highlight w:val="none"/>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2"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20"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38</w:t>
            </w:r>
          </w:p>
        </w:tc>
        <w:tc>
          <w:tcPr>
            <w:tcW w:w="1341"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812"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33"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10.5</w:t>
            </w:r>
          </w:p>
        </w:tc>
        <w:tc>
          <w:tcPr>
            <w:tcW w:w="11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20"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w:t>
            </w:r>
          </w:p>
        </w:tc>
        <w:tc>
          <w:tcPr>
            <w:tcW w:w="1341"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3"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11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2"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20"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6"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43</w:t>
            </w:r>
          </w:p>
        </w:tc>
        <w:tc>
          <w:tcPr>
            <w:tcW w:w="1341"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812"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33" w:type="dxa"/>
            <w:vMerge w:val="restart"/>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15</w:t>
            </w:r>
          </w:p>
        </w:tc>
        <w:tc>
          <w:tcPr>
            <w:tcW w:w="11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20"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6"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24</w:t>
            </w:r>
          </w:p>
        </w:tc>
        <w:tc>
          <w:tcPr>
            <w:tcW w:w="1341"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3"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11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2"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20"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6"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13</w:t>
            </w:r>
          </w:p>
        </w:tc>
        <w:tc>
          <w:tcPr>
            <w:tcW w:w="1341"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812"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33"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18.5</w:t>
            </w:r>
          </w:p>
        </w:tc>
        <w:tc>
          <w:tcPr>
            <w:tcW w:w="11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20"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6" w:type="dxa"/>
            <w:tcBorders>
              <w:tl2br w:val="nil"/>
              <w:tr2bl w:val="nil"/>
            </w:tcBorders>
            <w:vAlign w:val="center"/>
          </w:tcPr>
          <w:p>
            <w:pPr>
              <w:pStyle w:val="16"/>
              <w:spacing w:line="440" w:lineRule="exact"/>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4</w:t>
            </w:r>
          </w:p>
        </w:tc>
        <w:tc>
          <w:tcPr>
            <w:tcW w:w="1341"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3"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11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2"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320"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28"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86"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val="en-US" w:eastAsia="zh-CN"/>
              </w:rPr>
              <w:t>30</w:t>
            </w:r>
          </w:p>
        </w:tc>
        <w:tc>
          <w:tcPr>
            <w:tcW w:w="134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2"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3"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44</w:t>
            </w:r>
          </w:p>
        </w:tc>
        <w:tc>
          <w:tcPr>
            <w:tcW w:w="1112"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bl>
    <w:p>
      <w:pPr>
        <w:spacing w:line="460" w:lineRule="exact"/>
        <w:ind w:firstLine="360" w:firstLineChars="20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备注</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通识教育选修课程设置劳动教育（必选0.5学分)、审美与艺术(必选2学分)、国家安全教育（必选1学分）、综合素养四大模块课程。</w:t>
      </w:r>
    </w:p>
    <w:p>
      <w:pPr>
        <w:spacing w:line="440" w:lineRule="exact"/>
        <w:ind w:left="420" w:left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十一、课程体系</w:t>
      </w: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表4 通识教育必修课程                                       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601"/>
        <w:gridCol w:w="576"/>
        <w:gridCol w:w="560"/>
        <w:gridCol w:w="496"/>
        <w:gridCol w:w="504"/>
        <w:gridCol w:w="480"/>
        <w:gridCol w:w="473"/>
        <w:gridCol w:w="444"/>
        <w:gridCol w:w="403"/>
        <w:gridCol w:w="376"/>
        <w:gridCol w:w="360"/>
        <w:gridCol w:w="320"/>
        <w:gridCol w:w="427"/>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870"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w:t>
            </w:r>
          </w:p>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学分</w:t>
            </w:r>
          </w:p>
        </w:tc>
        <w:tc>
          <w:tcPr>
            <w:tcW w:w="2233" w:type="dxa"/>
            <w:gridSpan w:val="4"/>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学时安排</w:t>
            </w:r>
          </w:p>
        </w:tc>
        <w:tc>
          <w:tcPr>
            <w:tcW w:w="3360" w:type="dxa"/>
            <w:gridSpan w:val="8"/>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开课学期</w:t>
            </w:r>
          </w:p>
        </w:tc>
        <w:tc>
          <w:tcPr>
            <w:tcW w:w="427" w:type="dxa"/>
            <w:vMerge w:val="restart"/>
            <w:tcBorders>
              <w:tl2br w:val="nil"/>
              <w:tr2bl w:val="nil"/>
            </w:tcBorders>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w:t>
            </w:r>
          </w:p>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c>
          <w:tcPr>
            <w:tcW w:w="1356"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c>
          <w:tcPr>
            <w:tcW w:w="429"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c>
          <w:tcPr>
            <w:tcW w:w="601"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总学时</w:t>
            </w:r>
          </w:p>
        </w:tc>
        <w:tc>
          <w:tcPr>
            <w:tcW w:w="576"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理论学时</w:t>
            </w:r>
          </w:p>
        </w:tc>
        <w:tc>
          <w:tcPr>
            <w:tcW w:w="560"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实验学时</w:t>
            </w:r>
          </w:p>
        </w:tc>
        <w:tc>
          <w:tcPr>
            <w:tcW w:w="496"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实践学时</w:t>
            </w:r>
          </w:p>
        </w:tc>
        <w:tc>
          <w:tcPr>
            <w:tcW w:w="504"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w:t>
            </w:r>
          </w:p>
        </w:tc>
        <w:tc>
          <w:tcPr>
            <w:tcW w:w="480"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w:t>
            </w:r>
          </w:p>
        </w:tc>
        <w:tc>
          <w:tcPr>
            <w:tcW w:w="473"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w:t>
            </w:r>
          </w:p>
        </w:tc>
        <w:tc>
          <w:tcPr>
            <w:tcW w:w="444"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四</w:t>
            </w:r>
          </w:p>
        </w:tc>
        <w:tc>
          <w:tcPr>
            <w:tcW w:w="403"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五</w:t>
            </w:r>
          </w:p>
        </w:tc>
        <w:tc>
          <w:tcPr>
            <w:tcW w:w="376"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六</w:t>
            </w:r>
          </w:p>
        </w:tc>
        <w:tc>
          <w:tcPr>
            <w:tcW w:w="360"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七</w:t>
            </w:r>
          </w:p>
        </w:tc>
        <w:tc>
          <w:tcPr>
            <w:tcW w:w="320"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八</w:t>
            </w:r>
          </w:p>
        </w:tc>
        <w:tc>
          <w:tcPr>
            <w:tcW w:w="427" w:type="dxa"/>
            <w:vMerge w:val="continue"/>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679"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BA090024</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思想道德与法治</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48</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48</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48</w:t>
            </w:r>
          </w:p>
        </w:tc>
        <w:tc>
          <w:tcPr>
            <w:tcW w:w="48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BA090002</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中国近现代史纲要</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48</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48</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48</w:t>
            </w:r>
          </w:p>
        </w:tc>
        <w:tc>
          <w:tcPr>
            <w:tcW w:w="48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BA060001</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大学英语I</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2.5</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40</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40</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40</w:t>
            </w:r>
          </w:p>
        </w:tc>
        <w:tc>
          <w:tcPr>
            <w:tcW w:w="48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BA06001T</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大学体育I</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1</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32</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32</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32</w:t>
            </w:r>
          </w:p>
        </w:tc>
        <w:tc>
          <w:tcPr>
            <w:tcW w:w="48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BA090013</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军事理论</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2</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36</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36</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8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36</w:t>
            </w:r>
          </w:p>
        </w:tc>
        <w:tc>
          <w:tcPr>
            <w:tcW w:w="47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中华优秀传统文化</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lang w:val="en-US" w:eastAsia="zh-CN"/>
              </w:rPr>
              <w:t>1.5</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lang w:val="en-US" w:eastAsia="zh-CN"/>
              </w:rPr>
              <w:t>24</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lang w:val="en-US" w:eastAsia="zh-CN"/>
              </w:rPr>
              <w:t>24</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8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lang w:val="en-US" w:eastAsia="zh-CN"/>
              </w:rPr>
              <w:t>24</w:t>
            </w:r>
          </w:p>
        </w:tc>
        <w:tc>
          <w:tcPr>
            <w:tcW w:w="47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BA09002</w:t>
            </w:r>
            <w:r>
              <w:rPr>
                <w:rFonts w:hint="eastAsia" w:ascii="宋体" w:hAnsi="宋体" w:cs="宋体"/>
                <w:color w:val="auto"/>
                <w:sz w:val="18"/>
                <w:szCs w:val="18"/>
                <w:highlight w:val="none"/>
                <w:lang w:val="en-US" w:eastAsia="zh-CN"/>
              </w:rPr>
              <w:t>5</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马克思主义基本原理</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48</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48</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8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48</w:t>
            </w:r>
          </w:p>
        </w:tc>
        <w:tc>
          <w:tcPr>
            <w:tcW w:w="47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BA090007</w:t>
            </w:r>
          </w:p>
        </w:tc>
        <w:tc>
          <w:tcPr>
            <w:tcW w:w="1356"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大学生心理健康教育</w:t>
            </w:r>
          </w:p>
        </w:tc>
        <w:tc>
          <w:tcPr>
            <w:tcW w:w="429"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2</w:t>
            </w:r>
          </w:p>
        </w:tc>
        <w:tc>
          <w:tcPr>
            <w:tcW w:w="601"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57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bookmarkStart w:id="0" w:name="_GoBack"/>
            <w:bookmarkEnd w:id="0"/>
            <w:r>
              <w:rPr>
                <w:rFonts w:hint="eastAsia" w:ascii="宋体" w:hAnsi="宋体" w:cs="宋体"/>
                <w:color w:val="auto"/>
                <w:sz w:val="18"/>
                <w:szCs w:val="18"/>
                <w:highlight w:val="none"/>
              </w:rPr>
              <w:t>32</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48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0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2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2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BA060002</w:t>
            </w:r>
          </w:p>
        </w:tc>
        <w:tc>
          <w:tcPr>
            <w:tcW w:w="1356" w:type="dxa"/>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大学英语II</w:t>
            </w:r>
          </w:p>
        </w:tc>
        <w:tc>
          <w:tcPr>
            <w:tcW w:w="429"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2.5</w:t>
            </w:r>
          </w:p>
        </w:tc>
        <w:tc>
          <w:tcPr>
            <w:tcW w:w="601"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576"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560" w:type="dxa"/>
            <w:vAlign w:val="center"/>
          </w:tcPr>
          <w:p>
            <w:pPr>
              <w:jc w:val="center"/>
              <w:rPr>
                <w:rFonts w:ascii="宋体" w:hAnsi="宋体" w:eastAsia="宋体" w:cs="宋体"/>
                <w:color w:val="auto"/>
                <w:kern w:val="0"/>
                <w:sz w:val="18"/>
                <w:szCs w:val="18"/>
                <w:highlight w:val="none"/>
              </w:rPr>
            </w:pPr>
          </w:p>
        </w:tc>
        <w:tc>
          <w:tcPr>
            <w:tcW w:w="496" w:type="dxa"/>
            <w:vAlign w:val="center"/>
          </w:tcPr>
          <w:p>
            <w:pPr>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BA06002T</w:t>
            </w:r>
          </w:p>
        </w:tc>
        <w:tc>
          <w:tcPr>
            <w:tcW w:w="1356" w:type="dxa"/>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大学体育II</w:t>
            </w:r>
          </w:p>
        </w:tc>
        <w:tc>
          <w:tcPr>
            <w:tcW w:w="429"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1</w:t>
            </w:r>
          </w:p>
        </w:tc>
        <w:tc>
          <w:tcPr>
            <w:tcW w:w="601"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576"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560" w:type="dxa"/>
            <w:vAlign w:val="center"/>
          </w:tcPr>
          <w:p>
            <w:pPr>
              <w:jc w:val="center"/>
              <w:rPr>
                <w:rFonts w:ascii="宋体" w:hAnsi="宋体" w:eastAsia="宋体" w:cs="宋体"/>
                <w:color w:val="auto"/>
                <w:kern w:val="0"/>
                <w:sz w:val="18"/>
                <w:szCs w:val="18"/>
                <w:highlight w:val="none"/>
              </w:rPr>
            </w:pPr>
          </w:p>
        </w:tc>
        <w:tc>
          <w:tcPr>
            <w:tcW w:w="496" w:type="dxa"/>
            <w:vAlign w:val="center"/>
          </w:tcPr>
          <w:p>
            <w:pPr>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widowControl/>
              <w:jc w:val="center"/>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BA090022</w:t>
            </w:r>
          </w:p>
        </w:tc>
        <w:tc>
          <w:tcPr>
            <w:tcW w:w="1356" w:type="dxa"/>
            <w:vAlign w:val="center"/>
          </w:tcPr>
          <w:p>
            <w:pPr>
              <w:widowControl/>
              <w:jc w:val="left"/>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习近平新时代中国特色社会主义思想概论</w:t>
            </w:r>
          </w:p>
        </w:tc>
        <w:tc>
          <w:tcPr>
            <w:tcW w:w="429"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3</w:t>
            </w:r>
          </w:p>
        </w:tc>
        <w:tc>
          <w:tcPr>
            <w:tcW w:w="601"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48</w:t>
            </w:r>
          </w:p>
        </w:tc>
        <w:tc>
          <w:tcPr>
            <w:tcW w:w="576"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48</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48</w:t>
            </w: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10" w:hRule="atLeast"/>
          <w:jc w:val="center"/>
        </w:trPr>
        <w:tc>
          <w:tcPr>
            <w:tcW w:w="870" w:type="dxa"/>
            <w:vAlign w:val="center"/>
          </w:tcPr>
          <w:p>
            <w:pPr>
              <w:widowControl/>
              <w:jc w:val="center"/>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BA090017</w:t>
            </w:r>
          </w:p>
        </w:tc>
        <w:tc>
          <w:tcPr>
            <w:tcW w:w="1356" w:type="dxa"/>
            <w:vAlign w:val="center"/>
          </w:tcPr>
          <w:p>
            <w:pPr>
              <w:widowControl/>
              <w:jc w:val="left"/>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大学生职业生涯发展与就业指导（上）</w:t>
            </w:r>
          </w:p>
        </w:tc>
        <w:tc>
          <w:tcPr>
            <w:tcW w:w="429"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0.5</w:t>
            </w:r>
          </w:p>
        </w:tc>
        <w:tc>
          <w:tcPr>
            <w:tcW w:w="601"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576"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ascii="宋体" w:hAnsi="宋体" w:cs="宋体"/>
                <w:color w:val="auto"/>
                <w:sz w:val="18"/>
                <w:szCs w:val="18"/>
                <w:highlight w:val="none"/>
              </w:rPr>
            </w:pPr>
          </w:p>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widowControl/>
              <w:jc w:val="center"/>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BA090018</w:t>
            </w:r>
          </w:p>
        </w:tc>
        <w:tc>
          <w:tcPr>
            <w:tcW w:w="1356" w:type="dxa"/>
            <w:vAlign w:val="center"/>
          </w:tcPr>
          <w:p>
            <w:pPr>
              <w:widowControl/>
              <w:jc w:val="left"/>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大学生职业生涯发展与就业指导（下）</w:t>
            </w:r>
          </w:p>
        </w:tc>
        <w:tc>
          <w:tcPr>
            <w:tcW w:w="429"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1</w:t>
            </w:r>
          </w:p>
        </w:tc>
        <w:tc>
          <w:tcPr>
            <w:tcW w:w="601"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16</w:t>
            </w:r>
          </w:p>
        </w:tc>
        <w:tc>
          <w:tcPr>
            <w:tcW w:w="576"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16</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16</w:t>
            </w: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ascii="宋体" w:hAnsi="宋体" w:cs="宋体"/>
                <w:color w:val="auto"/>
                <w:sz w:val="18"/>
                <w:szCs w:val="18"/>
                <w:highlight w:val="none"/>
              </w:rPr>
            </w:pPr>
          </w:p>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jc w:val="center"/>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BA09002</w:t>
            </w:r>
            <w:r>
              <w:rPr>
                <w:rFonts w:ascii="宋体" w:hAnsi="宋体"/>
                <w:color w:val="auto"/>
                <w:kern w:val="0"/>
                <w:sz w:val="18"/>
                <w:szCs w:val="18"/>
                <w:highlight w:val="none"/>
                <w:lang w:bidi="ar"/>
              </w:rPr>
              <w:t>3</w:t>
            </w:r>
          </w:p>
        </w:tc>
        <w:tc>
          <w:tcPr>
            <w:tcW w:w="1356" w:type="dxa"/>
            <w:vAlign w:val="center"/>
          </w:tcPr>
          <w:p>
            <w:pPr>
              <w:widowControl/>
              <w:jc w:val="left"/>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毛泽东思想和中国特色社会主义理论体系概论</w:t>
            </w:r>
          </w:p>
        </w:tc>
        <w:tc>
          <w:tcPr>
            <w:tcW w:w="429"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2</w:t>
            </w:r>
          </w:p>
        </w:tc>
        <w:tc>
          <w:tcPr>
            <w:tcW w:w="601"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32</w:t>
            </w:r>
          </w:p>
        </w:tc>
        <w:tc>
          <w:tcPr>
            <w:tcW w:w="576"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32</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widowControl/>
              <w:jc w:val="center"/>
              <w:rPr>
                <w:rFonts w:ascii="宋体" w:hAnsi="宋体" w:eastAsia="宋体" w:cs="宋体"/>
                <w:color w:val="auto"/>
                <w:kern w:val="0"/>
                <w:sz w:val="18"/>
                <w:szCs w:val="18"/>
                <w:highlight w:val="none"/>
              </w:rPr>
            </w:pPr>
          </w:p>
        </w:tc>
        <w:tc>
          <w:tcPr>
            <w:tcW w:w="480" w:type="dxa"/>
            <w:vAlign w:val="center"/>
          </w:tcPr>
          <w:p>
            <w:pPr>
              <w:widowControl/>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BA060003</w:t>
            </w:r>
          </w:p>
        </w:tc>
        <w:tc>
          <w:tcPr>
            <w:tcW w:w="1356" w:type="dxa"/>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大学英语III</w:t>
            </w:r>
          </w:p>
        </w:tc>
        <w:tc>
          <w:tcPr>
            <w:tcW w:w="429"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2.5</w:t>
            </w:r>
          </w:p>
        </w:tc>
        <w:tc>
          <w:tcPr>
            <w:tcW w:w="601"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576"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560" w:type="dxa"/>
            <w:vAlign w:val="center"/>
          </w:tcPr>
          <w:p>
            <w:pPr>
              <w:jc w:val="center"/>
              <w:rPr>
                <w:rFonts w:ascii="宋体" w:hAnsi="宋体" w:eastAsia="宋体" w:cs="宋体"/>
                <w:color w:val="auto"/>
                <w:kern w:val="0"/>
                <w:sz w:val="18"/>
                <w:szCs w:val="18"/>
                <w:highlight w:val="none"/>
              </w:rPr>
            </w:pPr>
          </w:p>
        </w:tc>
        <w:tc>
          <w:tcPr>
            <w:tcW w:w="496" w:type="dxa"/>
            <w:vAlign w:val="center"/>
          </w:tcPr>
          <w:p>
            <w:pPr>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BA06003T</w:t>
            </w:r>
          </w:p>
        </w:tc>
        <w:tc>
          <w:tcPr>
            <w:tcW w:w="1356" w:type="dxa"/>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俱乐部制体育I</w:t>
            </w:r>
          </w:p>
        </w:tc>
        <w:tc>
          <w:tcPr>
            <w:tcW w:w="429"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1</w:t>
            </w:r>
          </w:p>
        </w:tc>
        <w:tc>
          <w:tcPr>
            <w:tcW w:w="601"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576"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560" w:type="dxa"/>
            <w:vAlign w:val="center"/>
          </w:tcPr>
          <w:p>
            <w:pPr>
              <w:jc w:val="center"/>
              <w:rPr>
                <w:rFonts w:ascii="宋体" w:hAnsi="宋体" w:eastAsia="宋体" w:cs="宋体"/>
                <w:color w:val="auto"/>
                <w:kern w:val="0"/>
                <w:sz w:val="18"/>
                <w:szCs w:val="18"/>
                <w:highlight w:val="none"/>
              </w:rPr>
            </w:pPr>
          </w:p>
        </w:tc>
        <w:tc>
          <w:tcPr>
            <w:tcW w:w="496" w:type="dxa"/>
            <w:vAlign w:val="center"/>
          </w:tcPr>
          <w:p>
            <w:pPr>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BA090009</w:t>
            </w:r>
          </w:p>
        </w:tc>
        <w:tc>
          <w:tcPr>
            <w:tcW w:w="1356" w:type="dxa"/>
            <w:vAlign w:val="center"/>
          </w:tcPr>
          <w:p>
            <w:pPr>
              <w:rPr>
                <w:rFonts w:ascii="宋体" w:hAnsi="宋体" w:eastAsia="宋体" w:cs="宋体"/>
                <w:color w:val="auto"/>
                <w:sz w:val="18"/>
                <w:szCs w:val="18"/>
                <w:highlight w:val="none"/>
              </w:rPr>
            </w:pPr>
            <w:r>
              <w:rPr>
                <w:rFonts w:hint="eastAsia" w:ascii="宋体" w:hAnsi="宋体" w:cs="宋体"/>
                <w:color w:val="auto"/>
                <w:sz w:val="18"/>
                <w:szCs w:val="18"/>
                <w:highlight w:val="none"/>
              </w:rPr>
              <w:t>创新创业教育</w:t>
            </w:r>
          </w:p>
        </w:tc>
        <w:tc>
          <w:tcPr>
            <w:tcW w:w="429"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1</w:t>
            </w:r>
          </w:p>
        </w:tc>
        <w:tc>
          <w:tcPr>
            <w:tcW w:w="601"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16</w:t>
            </w:r>
          </w:p>
        </w:tc>
        <w:tc>
          <w:tcPr>
            <w:tcW w:w="576"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16</w:t>
            </w:r>
          </w:p>
        </w:tc>
        <w:tc>
          <w:tcPr>
            <w:tcW w:w="560" w:type="dxa"/>
            <w:vAlign w:val="center"/>
          </w:tcPr>
          <w:p>
            <w:pPr>
              <w:jc w:val="center"/>
              <w:rPr>
                <w:rFonts w:ascii="宋体" w:hAnsi="宋体" w:eastAsia="宋体" w:cs="宋体"/>
                <w:color w:val="auto"/>
                <w:kern w:val="0"/>
                <w:sz w:val="18"/>
                <w:szCs w:val="18"/>
                <w:highlight w:val="none"/>
              </w:rPr>
            </w:pPr>
          </w:p>
        </w:tc>
        <w:tc>
          <w:tcPr>
            <w:tcW w:w="496" w:type="dxa"/>
            <w:vAlign w:val="center"/>
          </w:tcPr>
          <w:p>
            <w:pPr>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16</w:t>
            </w: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BA060004</w:t>
            </w:r>
          </w:p>
        </w:tc>
        <w:tc>
          <w:tcPr>
            <w:tcW w:w="1356" w:type="dxa"/>
            <w:vAlign w:val="center"/>
          </w:tcPr>
          <w:p>
            <w:pP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大学英语IV</w:t>
            </w:r>
          </w:p>
        </w:tc>
        <w:tc>
          <w:tcPr>
            <w:tcW w:w="429"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2.5</w:t>
            </w:r>
          </w:p>
        </w:tc>
        <w:tc>
          <w:tcPr>
            <w:tcW w:w="601"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576"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560" w:type="dxa"/>
            <w:vAlign w:val="center"/>
          </w:tcPr>
          <w:p>
            <w:pPr>
              <w:jc w:val="center"/>
              <w:rPr>
                <w:rFonts w:ascii="宋体" w:hAnsi="宋体" w:eastAsia="宋体" w:cs="宋体"/>
                <w:color w:val="auto"/>
                <w:kern w:val="0"/>
                <w:sz w:val="18"/>
                <w:szCs w:val="18"/>
                <w:highlight w:val="none"/>
              </w:rPr>
            </w:pPr>
          </w:p>
        </w:tc>
        <w:tc>
          <w:tcPr>
            <w:tcW w:w="496" w:type="dxa"/>
            <w:vAlign w:val="center"/>
          </w:tcPr>
          <w:p>
            <w:pPr>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40</w:t>
            </w: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679"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BA06004T</w:t>
            </w:r>
          </w:p>
        </w:tc>
        <w:tc>
          <w:tcPr>
            <w:tcW w:w="1356" w:type="dxa"/>
            <w:vAlign w:val="center"/>
          </w:tcPr>
          <w:p>
            <w:pP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俱乐部制体育II</w:t>
            </w:r>
          </w:p>
        </w:tc>
        <w:tc>
          <w:tcPr>
            <w:tcW w:w="429"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1</w:t>
            </w:r>
          </w:p>
        </w:tc>
        <w:tc>
          <w:tcPr>
            <w:tcW w:w="601"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576"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560" w:type="dxa"/>
            <w:vAlign w:val="center"/>
          </w:tcPr>
          <w:p>
            <w:pPr>
              <w:jc w:val="center"/>
              <w:rPr>
                <w:rFonts w:ascii="宋体" w:hAnsi="宋体" w:eastAsia="宋体" w:cs="宋体"/>
                <w:color w:val="auto"/>
                <w:kern w:val="0"/>
                <w:sz w:val="18"/>
                <w:szCs w:val="18"/>
                <w:highlight w:val="none"/>
              </w:rPr>
            </w:pPr>
          </w:p>
        </w:tc>
        <w:tc>
          <w:tcPr>
            <w:tcW w:w="496" w:type="dxa"/>
            <w:vAlign w:val="center"/>
          </w:tcPr>
          <w:p>
            <w:pPr>
              <w:jc w:val="center"/>
              <w:rPr>
                <w:rFonts w:ascii="宋体" w:hAnsi="宋体" w:eastAsia="宋体" w:cs="宋体"/>
                <w:color w:val="auto"/>
                <w:kern w:val="0"/>
                <w:sz w:val="18"/>
                <w:szCs w:val="18"/>
                <w:highlight w:val="none"/>
              </w:rPr>
            </w:pPr>
          </w:p>
        </w:tc>
        <w:tc>
          <w:tcPr>
            <w:tcW w:w="504" w:type="dxa"/>
            <w:vAlign w:val="center"/>
          </w:tcPr>
          <w:p>
            <w:pPr>
              <w:jc w:val="center"/>
              <w:rPr>
                <w:rFonts w:ascii="宋体" w:hAnsi="宋体" w:eastAsia="宋体" w:cs="宋体"/>
                <w:color w:val="auto"/>
                <w:kern w:val="0"/>
                <w:sz w:val="18"/>
                <w:szCs w:val="18"/>
                <w:highlight w:val="none"/>
              </w:rPr>
            </w:pPr>
          </w:p>
        </w:tc>
        <w:tc>
          <w:tcPr>
            <w:tcW w:w="480" w:type="dxa"/>
            <w:vAlign w:val="center"/>
          </w:tcPr>
          <w:p>
            <w:pPr>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32</w:t>
            </w: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BA0900141</w:t>
            </w:r>
          </w:p>
        </w:tc>
        <w:tc>
          <w:tcPr>
            <w:tcW w:w="1356" w:type="dxa"/>
            <w:vAlign w:val="center"/>
          </w:tcPr>
          <w:p>
            <w:pPr>
              <w:widowControl/>
              <w:jc w:val="left"/>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形势与政策Ⅰ</w:t>
            </w:r>
          </w:p>
        </w:tc>
        <w:tc>
          <w:tcPr>
            <w:tcW w:w="429"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0.5</w:t>
            </w:r>
          </w:p>
        </w:tc>
        <w:tc>
          <w:tcPr>
            <w:tcW w:w="601"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576"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480" w:type="dxa"/>
            <w:vAlign w:val="center"/>
          </w:tcPr>
          <w:p>
            <w:pPr>
              <w:widowControl/>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hint="eastAsia"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BA0900142</w:t>
            </w:r>
          </w:p>
        </w:tc>
        <w:tc>
          <w:tcPr>
            <w:tcW w:w="1356" w:type="dxa"/>
            <w:vAlign w:val="center"/>
          </w:tcPr>
          <w:p>
            <w:pPr>
              <w:widowControl/>
              <w:jc w:val="left"/>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形势与政策Ⅱ</w:t>
            </w:r>
          </w:p>
        </w:tc>
        <w:tc>
          <w:tcPr>
            <w:tcW w:w="429"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0.5</w:t>
            </w:r>
          </w:p>
        </w:tc>
        <w:tc>
          <w:tcPr>
            <w:tcW w:w="601"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576"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widowControl/>
              <w:jc w:val="center"/>
              <w:rPr>
                <w:rFonts w:ascii="宋体" w:hAnsi="宋体" w:eastAsia="宋体" w:cs="宋体"/>
                <w:color w:val="auto"/>
                <w:kern w:val="0"/>
                <w:sz w:val="18"/>
                <w:szCs w:val="18"/>
                <w:highlight w:val="none"/>
              </w:rPr>
            </w:pPr>
          </w:p>
        </w:tc>
        <w:tc>
          <w:tcPr>
            <w:tcW w:w="480"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8</w:t>
            </w: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hint="eastAsia"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BA0900143</w:t>
            </w:r>
          </w:p>
        </w:tc>
        <w:tc>
          <w:tcPr>
            <w:tcW w:w="1356" w:type="dxa"/>
            <w:vAlign w:val="center"/>
          </w:tcPr>
          <w:p>
            <w:pPr>
              <w:widowControl/>
              <w:jc w:val="left"/>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形势与政策Ⅲ</w:t>
            </w:r>
          </w:p>
        </w:tc>
        <w:tc>
          <w:tcPr>
            <w:tcW w:w="429"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0.25</w:t>
            </w:r>
          </w:p>
        </w:tc>
        <w:tc>
          <w:tcPr>
            <w:tcW w:w="601"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76"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widowControl/>
              <w:jc w:val="center"/>
              <w:rPr>
                <w:rFonts w:ascii="宋体" w:hAnsi="宋体" w:eastAsia="宋体" w:cs="宋体"/>
                <w:color w:val="auto"/>
                <w:kern w:val="0"/>
                <w:sz w:val="18"/>
                <w:szCs w:val="18"/>
                <w:highlight w:val="none"/>
              </w:rPr>
            </w:pPr>
          </w:p>
        </w:tc>
        <w:tc>
          <w:tcPr>
            <w:tcW w:w="480" w:type="dxa"/>
            <w:vAlign w:val="center"/>
          </w:tcPr>
          <w:p>
            <w:pPr>
              <w:widowControl/>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444" w:type="dxa"/>
            <w:vAlign w:val="center"/>
          </w:tcPr>
          <w:p>
            <w:pPr>
              <w:jc w:val="center"/>
              <w:rPr>
                <w:rFonts w:hint="eastAsia"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BA0900144</w:t>
            </w:r>
          </w:p>
        </w:tc>
        <w:tc>
          <w:tcPr>
            <w:tcW w:w="1356" w:type="dxa"/>
            <w:vAlign w:val="center"/>
          </w:tcPr>
          <w:p>
            <w:pPr>
              <w:widowControl/>
              <w:jc w:val="left"/>
              <w:rPr>
                <w:rFonts w:hint="eastAsia" w:ascii="宋体" w:hAnsi="宋体" w:eastAsia="宋体" w:cs="宋体"/>
                <w:color w:val="auto"/>
                <w:sz w:val="18"/>
                <w:szCs w:val="18"/>
                <w:highlight w:val="none"/>
              </w:rPr>
            </w:pPr>
            <w:r>
              <w:rPr>
                <w:rFonts w:hint="eastAsia" w:ascii="宋体" w:hAnsi="宋体"/>
                <w:color w:val="auto"/>
                <w:kern w:val="0"/>
                <w:sz w:val="18"/>
                <w:szCs w:val="18"/>
                <w:highlight w:val="none"/>
                <w:lang w:bidi="ar"/>
              </w:rPr>
              <w:t>形势与政策Ⅳ</w:t>
            </w:r>
          </w:p>
        </w:tc>
        <w:tc>
          <w:tcPr>
            <w:tcW w:w="429"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0.25</w:t>
            </w:r>
          </w:p>
        </w:tc>
        <w:tc>
          <w:tcPr>
            <w:tcW w:w="601"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76"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widowControl/>
              <w:jc w:val="center"/>
              <w:rPr>
                <w:rFonts w:ascii="宋体" w:hAnsi="宋体" w:eastAsia="宋体" w:cs="宋体"/>
                <w:color w:val="auto"/>
                <w:kern w:val="0"/>
                <w:sz w:val="18"/>
                <w:szCs w:val="18"/>
                <w:highlight w:val="none"/>
              </w:rPr>
            </w:pPr>
          </w:p>
        </w:tc>
        <w:tc>
          <w:tcPr>
            <w:tcW w:w="480" w:type="dxa"/>
            <w:vAlign w:val="center"/>
          </w:tcPr>
          <w:p>
            <w:pPr>
              <w:widowControl/>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BA0900145</w:t>
            </w:r>
          </w:p>
        </w:tc>
        <w:tc>
          <w:tcPr>
            <w:tcW w:w="1356" w:type="dxa"/>
            <w:vAlign w:val="center"/>
          </w:tcPr>
          <w:p>
            <w:pPr>
              <w:widowControl/>
              <w:jc w:val="left"/>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形势与政策Ⅴ</w:t>
            </w:r>
          </w:p>
        </w:tc>
        <w:tc>
          <w:tcPr>
            <w:tcW w:w="429"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0.25</w:t>
            </w:r>
          </w:p>
        </w:tc>
        <w:tc>
          <w:tcPr>
            <w:tcW w:w="601"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76"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widowControl/>
              <w:jc w:val="center"/>
              <w:rPr>
                <w:rFonts w:ascii="宋体" w:hAnsi="宋体" w:eastAsia="宋体" w:cs="宋体"/>
                <w:color w:val="auto"/>
                <w:kern w:val="0"/>
                <w:sz w:val="18"/>
                <w:szCs w:val="18"/>
                <w:highlight w:val="none"/>
              </w:rPr>
            </w:pPr>
          </w:p>
        </w:tc>
        <w:tc>
          <w:tcPr>
            <w:tcW w:w="480" w:type="dxa"/>
            <w:vAlign w:val="center"/>
          </w:tcPr>
          <w:p>
            <w:pPr>
              <w:widowControl/>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376" w:type="dxa"/>
            <w:vAlign w:val="center"/>
          </w:tcPr>
          <w:p>
            <w:pPr>
              <w:jc w:val="center"/>
              <w:rPr>
                <w:rFonts w:ascii="宋体" w:hAnsi="宋体" w:eastAsia="宋体" w:cs="宋体"/>
                <w:color w:val="auto"/>
                <w:kern w:val="0"/>
                <w:sz w:val="18"/>
                <w:szCs w:val="18"/>
                <w:highlight w:val="none"/>
              </w:rPr>
            </w:pP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BA0900146</w:t>
            </w:r>
          </w:p>
        </w:tc>
        <w:tc>
          <w:tcPr>
            <w:tcW w:w="1356" w:type="dxa"/>
            <w:vAlign w:val="center"/>
          </w:tcPr>
          <w:p>
            <w:pPr>
              <w:widowControl/>
              <w:jc w:val="left"/>
              <w:rPr>
                <w:rFonts w:ascii="宋体" w:hAnsi="宋体" w:eastAsia="宋体" w:cs="宋体"/>
                <w:color w:val="auto"/>
                <w:sz w:val="18"/>
                <w:szCs w:val="18"/>
                <w:highlight w:val="none"/>
              </w:rPr>
            </w:pPr>
            <w:r>
              <w:rPr>
                <w:rFonts w:hint="eastAsia" w:ascii="宋体" w:hAnsi="宋体"/>
                <w:color w:val="auto"/>
                <w:kern w:val="0"/>
                <w:sz w:val="18"/>
                <w:szCs w:val="18"/>
                <w:highlight w:val="none"/>
                <w:lang w:bidi="ar"/>
              </w:rPr>
              <w:t>形势与政策Ⅵ</w:t>
            </w:r>
          </w:p>
        </w:tc>
        <w:tc>
          <w:tcPr>
            <w:tcW w:w="429"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0.25</w:t>
            </w:r>
          </w:p>
        </w:tc>
        <w:tc>
          <w:tcPr>
            <w:tcW w:w="601"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76" w:type="dxa"/>
            <w:vAlign w:val="center"/>
          </w:tcPr>
          <w:p>
            <w:pPr>
              <w:widowControl/>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560" w:type="dxa"/>
            <w:vAlign w:val="center"/>
          </w:tcPr>
          <w:p>
            <w:pPr>
              <w:widowControl/>
              <w:jc w:val="center"/>
              <w:rPr>
                <w:rFonts w:ascii="宋体" w:hAnsi="宋体" w:eastAsia="宋体" w:cs="宋体"/>
                <w:color w:val="auto"/>
                <w:kern w:val="0"/>
                <w:sz w:val="18"/>
                <w:szCs w:val="18"/>
                <w:highlight w:val="none"/>
              </w:rPr>
            </w:pPr>
          </w:p>
        </w:tc>
        <w:tc>
          <w:tcPr>
            <w:tcW w:w="496" w:type="dxa"/>
            <w:vAlign w:val="center"/>
          </w:tcPr>
          <w:p>
            <w:pPr>
              <w:widowControl/>
              <w:jc w:val="center"/>
              <w:rPr>
                <w:rFonts w:ascii="宋体" w:hAnsi="宋体" w:eastAsia="宋体" w:cs="宋体"/>
                <w:color w:val="auto"/>
                <w:kern w:val="0"/>
                <w:sz w:val="18"/>
                <w:szCs w:val="18"/>
                <w:highlight w:val="none"/>
              </w:rPr>
            </w:pPr>
          </w:p>
        </w:tc>
        <w:tc>
          <w:tcPr>
            <w:tcW w:w="504" w:type="dxa"/>
            <w:vAlign w:val="center"/>
          </w:tcPr>
          <w:p>
            <w:pPr>
              <w:widowControl/>
              <w:jc w:val="center"/>
              <w:rPr>
                <w:rFonts w:ascii="宋体" w:hAnsi="宋体" w:eastAsia="宋体" w:cs="宋体"/>
                <w:color w:val="auto"/>
                <w:kern w:val="0"/>
                <w:sz w:val="18"/>
                <w:szCs w:val="18"/>
                <w:highlight w:val="none"/>
              </w:rPr>
            </w:pPr>
          </w:p>
        </w:tc>
        <w:tc>
          <w:tcPr>
            <w:tcW w:w="480" w:type="dxa"/>
            <w:vAlign w:val="center"/>
          </w:tcPr>
          <w:p>
            <w:pPr>
              <w:widowControl/>
              <w:jc w:val="center"/>
              <w:rPr>
                <w:rFonts w:ascii="宋体" w:hAnsi="宋体" w:eastAsia="宋体" w:cs="宋体"/>
                <w:color w:val="auto"/>
                <w:kern w:val="0"/>
                <w:sz w:val="18"/>
                <w:szCs w:val="18"/>
                <w:highlight w:val="none"/>
              </w:rPr>
            </w:pPr>
          </w:p>
        </w:tc>
        <w:tc>
          <w:tcPr>
            <w:tcW w:w="473" w:type="dxa"/>
            <w:vAlign w:val="center"/>
          </w:tcPr>
          <w:p>
            <w:pPr>
              <w:jc w:val="center"/>
              <w:rPr>
                <w:rFonts w:ascii="宋体" w:hAnsi="宋体" w:eastAsia="宋体" w:cs="宋体"/>
                <w:color w:val="auto"/>
                <w:kern w:val="0"/>
                <w:sz w:val="18"/>
                <w:szCs w:val="18"/>
                <w:highlight w:val="none"/>
              </w:rPr>
            </w:pPr>
          </w:p>
        </w:tc>
        <w:tc>
          <w:tcPr>
            <w:tcW w:w="444" w:type="dxa"/>
            <w:vAlign w:val="center"/>
          </w:tcPr>
          <w:p>
            <w:pPr>
              <w:jc w:val="center"/>
              <w:rPr>
                <w:rFonts w:ascii="宋体" w:hAnsi="宋体" w:eastAsia="宋体" w:cs="宋体"/>
                <w:color w:val="auto"/>
                <w:kern w:val="0"/>
                <w:sz w:val="18"/>
                <w:szCs w:val="18"/>
                <w:highlight w:val="none"/>
              </w:rPr>
            </w:pPr>
          </w:p>
        </w:tc>
        <w:tc>
          <w:tcPr>
            <w:tcW w:w="403"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kern w:val="0"/>
                <w:sz w:val="18"/>
                <w:szCs w:val="18"/>
                <w:highlight w:val="none"/>
              </w:rPr>
            </w:pPr>
            <w:r>
              <w:rPr>
                <w:rFonts w:hint="eastAsia" w:ascii="宋体" w:hAnsi="宋体"/>
                <w:color w:val="auto"/>
                <w:kern w:val="0"/>
                <w:sz w:val="18"/>
                <w:szCs w:val="18"/>
                <w:highlight w:val="none"/>
                <w:lang w:bidi="ar"/>
              </w:rPr>
              <w:t>4</w:t>
            </w:r>
          </w:p>
        </w:tc>
        <w:tc>
          <w:tcPr>
            <w:tcW w:w="360" w:type="dxa"/>
            <w:vAlign w:val="center"/>
          </w:tcPr>
          <w:p>
            <w:pPr>
              <w:jc w:val="center"/>
              <w:rPr>
                <w:rFonts w:ascii="宋体" w:hAnsi="宋体" w:eastAsia="宋体" w:cs="宋体"/>
                <w:color w:val="auto"/>
                <w:kern w:val="0"/>
                <w:sz w:val="18"/>
                <w:szCs w:val="18"/>
                <w:highlight w:val="none"/>
              </w:rPr>
            </w:pPr>
          </w:p>
        </w:tc>
        <w:tc>
          <w:tcPr>
            <w:tcW w:w="320" w:type="dxa"/>
            <w:vAlign w:val="center"/>
          </w:tcPr>
          <w:p>
            <w:pPr>
              <w:jc w:val="center"/>
              <w:rPr>
                <w:rFonts w:ascii="宋体" w:hAnsi="宋体" w:eastAsia="宋体" w:cs="宋体"/>
                <w:color w:val="auto"/>
                <w:sz w:val="18"/>
                <w:szCs w:val="18"/>
                <w:highlight w:val="none"/>
              </w:rPr>
            </w:pPr>
          </w:p>
        </w:tc>
        <w:tc>
          <w:tcPr>
            <w:tcW w:w="427" w:type="dxa"/>
            <w:vAlign w:val="top"/>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679"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ascii="宋体" w:hAnsi="宋体" w:eastAsia="宋体" w:cs="宋体"/>
                <w:color w:val="auto"/>
                <w:sz w:val="18"/>
                <w:szCs w:val="18"/>
                <w:highlight w:val="none"/>
              </w:rPr>
            </w:pPr>
          </w:p>
        </w:tc>
        <w:tc>
          <w:tcPr>
            <w:tcW w:w="1356" w:type="dxa"/>
            <w:vAlign w:val="center"/>
          </w:tcPr>
          <w:p>
            <w:pPr>
              <w:rPr>
                <w:rFonts w:ascii="宋体" w:hAnsi="宋体" w:cs="宋体" w:eastAsiaTheme="minorEastAsia"/>
                <w:color w:val="auto"/>
                <w:kern w:val="2"/>
                <w:sz w:val="18"/>
                <w:szCs w:val="18"/>
                <w:highlight w:val="none"/>
                <w:lang w:val="en-US" w:eastAsia="zh-CN" w:bidi="ar-SA"/>
              </w:rPr>
            </w:pPr>
            <w:r>
              <w:rPr>
                <w:rFonts w:hint="eastAsia" w:ascii="宋体" w:hAnsi="宋体" w:cs="宋体"/>
                <w:color w:val="auto"/>
                <w:sz w:val="18"/>
                <w:szCs w:val="18"/>
                <w:highlight w:val="none"/>
              </w:rPr>
              <w:t>合计</w:t>
            </w:r>
          </w:p>
        </w:tc>
        <w:tc>
          <w:tcPr>
            <w:tcW w:w="429"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38</w:t>
            </w:r>
          </w:p>
        </w:tc>
        <w:tc>
          <w:tcPr>
            <w:tcW w:w="601"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676</w:t>
            </w:r>
          </w:p>
        </w:tc>
        <w:tc>
          <w:tcPr>
            <w:tcW w:w="576"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676</w:t>
            </w:r>
          </w:p>
        </w:tc>
        <w:tc>
          <w:tcPr>
            <w:tcW w:w="560" w:type="dxa"/>
            <w:vAlign w:val="center"/>
          </w:tcPr>
          <w:p>
            <w:pPr>
              <w:jc w:val="center"/>
              <w:rPr>
                <w:rFonts w:ascii="宋体" w:hAnsi="宋体" w:cs="宋体" w:eastAsiaTheme="minorEastAsia"/>
                <w:color w:val="auto"/>
                <w:kern w:val="2"/>
                <w:sz w:val="18"/>
                <w:szCs w:val="18"/>
                <w:highlight w:val="none"/>
                <w:lang w:val="en-US" w:eastAsia="zh-CN" w:bidi="ar-SA"/>
              </w:rPr>
            </w:pPr>
          </w:p>
        </w:tc>
        <w:tc>
          <w:tcPr>
            <w:tcW w:w="496" w:type="dxa"/>
            <w:vAlign w:val="center"/>
          </w:tcPr>
          <w:p>
            <w:pPr>
              <w:jc w:val="center"/>
              <w:rPr>
                <w:rFonts w:ascii="宋体" w:hAnsi="宋体" w:cs="宋体" w:eastAsiaTheme="minorEastAsia"/>
                <w:color w:val="auto"/>
                <w:kern w:val="2"/>
                <w:sz w:val="18"/>
                <w:szCs w:val="18"/>
                <w:highlight w:val="none"/>
                <w:lang w:val="en-US" w:eastAsia="zh-CN" w:bidi="ar-SA"/>
              </w:rPr>
            </w:pPr>
          </w:p>
        </w:tc>
        <w:tc>
          <w:tcPr>
            <w:tcW w:w="504"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216</w:t>
            </w:r>
          </w:p>
        </w:tc>
        <w:tc>
          <w:tcPr>
            <w:tcW w:w="480"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188</w:t>
            </w:r>
          </w:p>
        </w:tc>
        <w:tc>
          <w:tcPr>
            <w:tcW w:w="473"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172</w:t>
            </w:r>
          </w:p>
        </w:tc>
        <w:tc>
          <w:tcPr>
            <w:tcW w:w="444"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76</w:t>
            </w:r>
          </w:p>
        </w:tc>
        <w:tc>
          <w:tcPr>
            <w:tcW w:w="403"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4</w:t>
            </w:r>
          </w:p>
        </w:tc>
        <w:tc>
          <w:tcPr>
            <w:tcW w:w="376" w:type="dxa"/>
            <w:vAlign w:val="center"/>
          </w:tcPr>
          <w:p>
            <w:pPr>
              <w:keepNext w:val="0"/>
              <w:keepLines w:val="0"/>
              <w:widowControl/>
              <w:suppressLineNumbers w:val="0"/>
              <w:jc w:val="center"/>
              <w:textAlignment w:val="center"/>
              <w:rPr>
                <w:rFonts w:ascii="宋体" w:hAnsi="宋体" w:cs="宋体" w:eastAsiaTheme="minorEastAsia"/>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20</w:t>
            </w:r>
          </w:p>
        </w:tc>
        <w:tc>
          <w:tcPr>
            <w:tcW w:w="360" w:type="dxa"/>
            <w:vAlign w:val="center"/>
          </w:tcPr>
          <w:p>
            <w:pPr>
              <w:jc w:val="center"/>
              <w:rPr>
                <w:rFonts w:ascii="宋体" w:hAnsi="宋体" w:cs="宋体" w:eastAsiaTheme="minorEastAsia"/>
                <w:color w:val="auto"/>
                <w:kern w:val="2"/>
                <w:sz w:val="18"/>
                <w:szCs w:val="18"/>
                <w:highlight w:val="none"/>
                <w:lang w:val="en-US" w:eastAsia="zh-CN" w:bidi="ar-SA"/>
              </w:rPr>
            </w:pPr>
          </w:p>
        </w:tc>
        <w:tc>
          <w:tcPr>
            <w:tcW w:w="320" w:type="dxa"/>
            <w:vAlign w:val="center"/>
          </w:tcPr>
          <w:p>
            <w:pPr>
              <w:jc w:val="center"/>
              <w:rPr>
                <w:rFonts w:ascii="宋体" w:hAnsi="宋体" w:cs="宋体" w:eastAsiaTheme="minorEastAsia"/>
                <w:color w:val="auto"/>
                <w:kern w:val="2"/>
                <w:sz w:val="18"/>
                <w:szCs w:val="18"/>
                <w:highlight w:val="none"/>
                <w:lang w:val="en-US" w:eastAsia="zh-CN" w:bidi="ar-SA"/>
              </w:rPr>
            </w:pPr>
          </w:p>
        </w:tc>
        <w:tc>
          <w:tcPr>
            <w:tcW w:w="427" w:type="dxa"/>
            <w:vAlign w:val="center"/>
          </w:tcPr>
          <w:p>
            <w:pPr>
              <w:jc w:val="center"/>
              <w:rPr>
                <w:rFonts w:ascii="宋体" w:hAnsi="宋体" w:cs="宋体" w:eastAsiaTheme="minorEastAsia"/>
                <w:color w:val="auto"/>
                <w:kern w:val="2"/>
                <w:sz w:val="18"/>
                <w:szCs w:val="18"/>
                <w:highlight w:val="none"/>
                <w:lang w:val="en-US" w:eastAsia="zh-CN" w:bidi="ar-SA"/>
              </w:rPr>
            </w:pPr>
          </w:p>
        </w:tc>
        <w:tc>
          <w:tcPr>
            <w:tcW w:w="679" w:type="dxa"/>
            <w:vAlign w:val="center"/>
          </w:tcPr>
          <w:p>
            <w:pPr>
              <w:jc w:val="center"/>
              <w:rPr>
                <w:rFonts w:ascii="宋体" w:hAnsi="宋体" w:cs="宋体" w:eastAsiaTheme="minorEastAsia"/>
                <w:color w:val="auto"/>
                <w:kern w:val="2"/>
                <w:sz w:val="18"/>
                <w:szCs w:val="18"/>
                <w:highlight w:val="none"/>
                <w:lang w:val="en-US" w:eastAsia="zh-CN" w:bidi="ar-SA"/>
              </w:rPr>
            </w:pPr>
          </w:p>
        </w:tc>
      </w:tr>
    </w:tbl>
    <w:p>
      <w:pPr>
        <w:spacing w:line="440" w:lineRule="exact"/>
        <w:ind w:left="420" w:leftChars="200"/>
        <w:jc w:val="left"/>
        <w:rPr>
          <w:rFonts w:asciiTheme="minorEastAsia" w:hAnsiTheme="minorEastAsia" w:cstheme="minorEastAsia"/>
          <w:color w:val="auto"/>
          <w:szCs w:val="21"/>
          <w:highlight w:val="none"/>
        </w:rPr>
      </w:pP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表5 学科基础课程                                                 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657"/>
        <w:gridCol w:w="617"/>
        <w:gridCol w:w="532"/>
        <w:gridCol w:w="479"/>
        <w:gridCol w:w="452"/>
        <w:gridCol w:w="456"/>
        <w:gridCol w:w="424"/>
        <w:gridCol w:w="456"/>
        <w:gridCol w:w="456"/>
        <w:gridCol w:w="408"/>
        <w:gridCol w:w="336"/>
        <w:gridCol w:w="328"/>
        <w:gridCol w:w="419"/>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8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285"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316"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19"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02" w:hRule="atLeas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65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61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3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479"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45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5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2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5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5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0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3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2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419"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BC060006</w:t>
            </w:r>
          </w:p>
        </w:tc>
        <w:tc>
          <w:tcPr>
            <w:tcW w:w="1356" w:type="dxa"/>
            <w:tcBorders>
              <w:tl2br w:val="nil"/>
              <w:tr2bl w:val="nil"/>
            </w:tcBorders>
            <w:tcMar>
              <w:left w:w="57" w:type="dxa"/>
              <w:right w:w="57" w:type="dxa"/>
            </w:tcMar>
            <w:vAlign w:val="center"/>
          </w:tcPr>
          <w:p>
            <w:pPr>
              <w:spacing w:line="260" w:lineRule="exac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高等数学JI</w:t>
            </w: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6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w:t>
            </w:r>
          </w:p>
        </w:tc>
        <w:tc>
          <w:tcPr>
            <w:tcW w:w="61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w:t>
            </w:r>
          </w:p>
        </w:tc>
        <w:tc>
          <w:tcPr>
            <w:tcW w:w="5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w:t>
            </w: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2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36"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p>
        </w:tc>
        <w:tc>
          <w:tcPr>
            <w:tcW w:w="328"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p>
        </w:tc>
        <w:tc>
          <w:tcPr>
            <w:tcW w:w="419" w:type="dxa"/>
            <w:tcBorders>
              <w:tl2br w:val="nil"/>
              <w:tr2bl w:val="nil"/>
            </w:tcBorders>
            <w:vAlign w:val="center"/>
          </w:tcPr>
          <w:p>
            <w:pPr>
              <w:spacing w:line="26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79"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BC060007</w:t>
            </w:r>
          </w:p>
        </w:tc>
        <w:tc>
          <w:tcPr>
            <w:tcW w:w="1356" w:type="dxa"/>
            <w:tcBorders>
              <w:tl2br w:val="nil"/>
              <w:tr2bl w:val="nil"/>
            </w:tcBorders>
            <w:tcMar>
              <w:left w:w="57" w:type="dxa"/>
              <w:right w:w="57" w:type="dxa"/>
            </w:tcMar>
            <w:vAlign w:val="center"/>
          </w:tcPr>
          <w:p>
            <w:pPr>
              <w:spacing w:line="260" w:lineRule="exac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高等数学JII</w:t>
            </w: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6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61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5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42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36"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p>
        </w:tc>
        <w:tc>
          <w:tcPr>
            <w:tcW w:w="328"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p>
        </w:tc>
        <w:tc>
          <w:tcPr>
            <w:tcW w:w="419" w:type="dxa"/>
            <w:tcBorders>
              <w:tl2br w:val="nil"/>
              <w:tr2bl w:val="nil"/>
            </w:tcBorders>
            <w:vAlign w:val="center"/>
          </w:tcPr>
          <w:p>
            <w:pPr>
              <w:spacing w:line="26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79" w:type="dxa"/>
            <w:tcBorders>
              <w:tl2br w:val="nil"/>
              <w:tr2bl w:val="nil"/>
            </w:tcBorders>
            <w:tcMar>
              <w:left w:w="57" w:type="dxa"/>
              <w:right w:w="57" w:type="dxa"/>
            </w:tcMar>
            <w:vAlign w:val="center"/>
          </w:tcPr>
          <w:p>
            <w:pPr>
              <w:spacing w:line="260" w:lineRule="exac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spacing w:line="26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BC060008</w:t>
            </w:r>
          </w:p>
        </w:tc>
        <w:tc>
          <w:tcPr>
            <w:tcW w:w="1356" w:type="dxa"/>
            <w:tcBorders>
              <w:tl2br w:val="nil"/>
              <w:tr2bl w:val="nil"/>
            </w:tcBorders>
            <w:tcMar>
              <w:left w:w="57" w:type="dxa"/>
              <w:right w:w="57" w:type="dxa"/>
            </w:tcMar>
            <w:vAlign w:val="center"/>
          </w:tcPr>
          <w:p>
            <w:pPr>
              <w:spacing w:line="260" w:lineRule="exac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线性代数与线性规划</w:t>
            </w: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6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61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5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42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36"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p>
        </w:tc>
        <w:tc>
          <w:tcPr>
            <w:tcW w:w="328"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p>
        </w:tc>
        <w:tc>
          <w:tcPr>
            <w:tcW w:w="419" w:type="dxa"/>
            <w:tcBorders>
              <w:tl2br w:val="nil"/>
              <w:tr2bl w:val="nil"/>
            </w:tcBorders>
            <w:vAlign w:val="center"/>
          </w:tcPr>
          <w:p>
            <w:pPr>
              <w:spacing w:line="26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79" w:type="dxa"/>
            <w:tcBorders>
              <w:tl2br w:val="nil"/>
              <w:tr2bl w:val="nil"/>
            </w:tcBorders>
            <w:tcMar>
              <w:left w:w="57" w:type="dxa"/>
              <w:right w:w="57" w:type="dxa"/>
            </w:tcMar>
            <w:vAlign w:val="center"/>
          </w:tcPr>
          <w:p>
            <w:pPr>
              <w:spacing w:line="26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6" w:hRule="exact"/>
          <w:jc w:val="center"/>
        </w:trPr>
        <w:tc>
          <w:tcPr>
            <w:tcW w:w="870" w:type="dxa"/>
            <w:vAlign w:val="center"/>
          </w:tcPr>
          <w:p>
            <w:pPr>
              <w:spacing w:line="260" w:lineRule="exact"/>
              <w:jc w:val="center"/>
              <w:rPr>
                <w:rFonts w:ascii="宋体" w:hAnsi="宋体" w:eastAsia="宋体" w:cs="宋体"/>
                <w:b w:val="0"/>
                <w:bCs w:val="0"/>
                <w:color w:val="auto"/>
                <w:sz w:val="18"/>
                <w:szCs w:val="18"/>
                <w:highlight w:val="none"/>
              </w:rPr>
            </w:pPr>
            <w:r>
              <w:rPr>
                <w:rFonts w:hint="eastAsia" w:ascii="宋体" w:hAnsi="宋体" w:eastAsia="宋体" w:cs="宋体"/>
                <w:b w:val="0"/>
                <w:bCs w:val="0"/>
                <w:color w:val="auto"/>
                <w:kern w:val="0"/>
                <w:sz w:val="18"/>
                <w:szCs w:val="18"/>
                <w:highlight w:val="none"/>
              </w:rPr>
              <w:t>BC170002</w:t>
            </w:r>
          </w:p>
        </w:tc>
        <w:tc>
          <w:tcPr>
            <w:tcW w:w="1356" w:type="dxa"/>
            <w:vAlign w:val="center"/>
          </w:tcPr>
          <w:p>
            <w:pPr>
              <w:spacing w:line="260" w:lineRule="exac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EXCEL高级应用</w:t>
            </w:r>
          </w:p>
        </w:tc>
        <w:tc>
          <w:tcPr>
            <w:tcW w:w="429"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657"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617" w:type="dxa"/>
            <w:vAlign w:val="center"/>
          </w:tcPr>
          <w:p>
            <w:pPr>
              <w:widowControl/>
              <w:jc w:val="center"/>
              <w:textAlignment w:val="center"/>
              <w:rPr>
                <w:rFonts w:ascii="宋体" w:hAnsi="宋体" w:eastAsia="宋体" w:cs="宋体"/>
                <w:color w:val="auto"/>
                <w:kern w:val="0"/>
                <w:sz w:val="18"/>
                <w:szCs w:val="18"/>
                <w:highlight w:val="none"/>
              </w:rPr>
            </w:pPr>
          </w:p>
        </w:tc>
        <w:tc>
          <w:tcPr>
            <w:tcW w:w="532"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479" w:type="dxa"/>
            <w:vAlign w:val="center"/>
          </w:tcPr>
          <w:p>
            <w:pPr>
              <w:widowControl/>
              <w:jc w:val="center"/>
              <w:textAlignment w:val="center"/>
              <w:rPr>
                <w:rFonts w:ascii="宋体" w:hAnsi="宋体" w:eastAsia="宋体" w:cs="宋体"/>
                <w:color w:val="auto"/>
                <w:kern w:val="0"/>
                <w:sz w:val="18"/>
                <w:szCs w:val="18"/>
                <w:highlight w:val="none"/>
              </w:rPr>
            </w:pPr>
          </w:p>
        </w:tc>
        <w:tc>
          <w:tcPr>
            <w:tcW w:w="452"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424"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spacing w:line="260" w:lineRule="exact"/>
              <w:jc w:val="center"/>
              <w:rPr>
                <w:rFonts w:cs="宋体" w:asciiTheme="minorEastAsia" w:hAnsiTheme="minorEastAsia"/>
                <w:color w:val="auto"/>
                <w:sz w:val="18"/>
                <w:szCs w:val="18"/>
                <w:highlight w:val="none"/>
              </w:rPr>
            </w:pPr>
          </w:p>
        </w:tc>
        <w:tc>
          <w:tcPr>
            <w:tcW w:w="328" w:type="dxa"/>
            <w:vAlign w:val="center"/>
          </w:tcPr>
          <w:p>
            <w:pPr>
              <w:spacing w:line="260" w:lineRule="exact"/>
              <w:jc w:val="center"/>
              <w:rPr>
                <w:rFonts w:cs="宋体" w:asciiTheme="minorEastAsia" w:hAnsiTheme="minorEastAsia"/>
                <w:color w:val="auto"/>
                <w:sz w:val="18"/>
                <w:szCs w:val="18"/>
                <w:highlight w:val="none"/>
              </w:rPr>
            </w:pPr>
          </w:p>
        </w:tc>
        <w:tc>
          <w:tcPr>
            <w:tcW w:w="419" w:type="dxa"/>
            <w:vAlign w:val="center"/>
          </w:tcPr>
          <w:p>
            <w:pPr>
              <w:spacing w:line="26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79" w:type="dxa"/>
            <w:vAlign w:val="center"/>
          </w:tcPr>
          <w:p>
            <w:pPr>
              <w:spacing w:line="260" w:lineRule="exact"/>
              <w:jc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BC050036</w:t>
            </w:r>
          </w:p>
        </w:tc>
        <w:tc>
          <w:tcPr>
            <w:tcW w:w="1356" w:type="dxa"/>
            <w:vAlign w:val="center"/>
          </w:tcPr>
          <w:p>
            <w:pPr>
              <w:keepNext w:val="0"/>
              <w:keepLines w:val="0"/>
              <w:widowControl/>
              <w:suppressLineNumbers w:val="0"/>
              <w:jc w:val="left"/>
              <w:textAlignment w:val="center"/>
              <w:rPr>
                <w:rFonts w:hint="default" w:cs="宋体" w:asciiTheme="minorEastAsia" w:hAnsiTheme="minorEastAsia"/>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管理学原理</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BC050073</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微观经济学</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4"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BC050067</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基础会计</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4"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BC050014</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宏观经济学</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jc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BC060009</w:t>
            </w:r>
          </w:p>
        </w:tc>
        <w:tc>
          <w:tcPr>
            <w:tcW w:w="1356" w:type="dxa"/>
            <w:vAlign w:val="center"/>
          </w:tcPr>
          <w:p>
            <w:pPr>
              <w:keepNext w:val="0"/>
              <w:keepLines w:val="0"/>
              <w:widowControl/>
              <w:suppressLineNumbers w:val="0"/>
              <w:jc w:val="both"/>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概率论与数理统计</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456" w:type="dxa"/>
            <w:vAlign w:val="center"/>
          </w:tcPr>
          <w:p>
            <w:pPr>
              <w:jc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BC050058</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财务会计</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456" w:type="dxa"/>
            <w:vAlign w:val="center"/>
          </w:tcPr>
          <w:p>
            <w:pPr>
              <w:jc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BC050061</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统计学</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3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jc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BC050069</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经济法</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BC050029</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税法</w:t>
            </w: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2" w:type="dxa"/>
            <w:vAlign w:val="center"/>
          </w:tcPr>
          <w:p>
            <w:pPr>
              <w:jc w:val="center"/>
              <w:rPr>
                <w:rFonts w:ascii="宋体" w:hAnsi="宋体" w:eastAsia="宋体" w:cs="宋体"/>
                <w:color w:val="auto"/>
                <w:kern w:val="0"/>
                <w:sz w:val="18"/>
                <w:szCs w:val="18"/>
                <w:highlight w:val="none"/>
              </w:rPr>
            </w:pP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hint="eastAsia"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BC050027</w:t>
            </w:r>
          </w:p>
        </w:tc>
        <w:tc>
          <w:tcPr>
            <w:tcW w:w="1356" w:type="dxa"/>
            <w:vAlign w:val="center"/>
          </w:tcPr>
          <w:p>
            <w:pPr>
              <w:keepNext w:val="0"/>
              <w:keepLines w:val="0"/>
              <w:widowControl/>
              <w:suppressLineNumbers w:val="0"/>
              <w:jc w:val="left"/>
              <w:textAlignment w:val="center"/>
              <w:rPr>
                <w:rFonts w:ascii="Calibri" w:hAnsi="Calibri" w:eastAsia="宋体" w:cs="Calibri"/>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市场营销</w:t>
            </w:r>
          </w:p>
        </w:tc>
        <w:tc>
          <w:tcPr>
            <w:tcW w:w="429"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57"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17"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3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479"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top"/>
          </w:tcPr>
          <w:p>
            <w:pPr>
              <w:keepNext w:val="0"/>
              <w:keepLines w:val="0"/>
              <w:widowControl/>
              <w:suppressLineNumbers w:val="0"/>
              <w:jc w:val="center"/>
              <w:textAlignment w:val="top"/>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356" w:type="dxa"/>
            <w:vAlign w:val="center"/>
          </w:tcPr>
          <w:p>
            <w:pPr>
              <w:jc w:val="left"/>
              <w:rPr>
                <w:color w:val="auto"/>
                <w:kern w:val="0"/>
                <w:sz w:val="18"/>
                <w:szCs w:val="18"/>
                <w:highlight w:val="none"/>
              </w:rPr>
            </w:pPr>
          </w:p>
        </w:tc>
        <w:tc>
          <w:tcPr>
            <w:tcW w:w="429"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43</w:t>
            </w:r>
          </w:p>
        </w:tc>
        <w:tc>
          <w:tcPr>
            <w:tcW w:w="657"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688</w:t>
            </w:r>
          </w:p>
        </w:tc>
        <w:tc>
          <w:tcPr>
            <w:tcW w:w="617"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640</w:t>
            </w:r>
          </w:p>
        </w:tc>
        <w:tc>
          <w:tcPr>
            <w:tcW w:w="532"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79"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452"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112</w:t>
            </w:r>
          </w:p>
        </w:tc>
        <w:tc>
          <w:tcPr>
            <w:tcW w:w="456"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224</w:t>
            </w:r>
          </w:p>
        </w:tc>
        <w:tc>
          <w:tcPr>
            <w:tcW w:w="424"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208</w:t>
            </w:r>
          </w:p>
        </w:tc>
        <w:tc>
          <w:tcPr>
            <w:tcW w:w="456" w:type="dxa"/>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144</w:t>
            </w: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08" w:type="dxa"/>
            <w:vAlign w:val="center"/>
          </w:tcPr>
          <w:p>
            <w:pPr>
              <w:widowControl/>
              <w:jc w:val="center"/>
              <w:textAlignment w:val="center"/>
              <w:rPr>
                <w:rFonts w:ascii="宋体" w:hAnsi="宋体" w:eastAsia="宋体" w:cs="宋体"/>
                <w:color w:val="auto"/>
                <w:kern w:val="0"/>
                <w:sz w:val="18"/>
                <w:szCs w:val="18"/>
                <w:highlight w:val="none"/>
              </w:rPr>
            </w:pPr>
          </w:p>
        </w:tc>
        <w:tc>
          <w:tcPr>
            <w:tcW w:w="336" w:type="dxa"/>
            <w:vAlign w:val="center"/>
          </w:tcPr>
          <w:p>
            <w:pPr>
              <w:widowControl/>
              <w:jc w:val="center"/>
              <w:textAlignment w:val="center"/>
              <w:rPr>
                <w:rFonts w:cs="宋体" w:asciiTheme="minorEastAsia" w:hAnsiTheme="minorEastAsia"/>
                <w:color w:val="auto"/>
                <w:sz w:val="18"/>
                <w:szCs w:val="18"/>
                <w:highlight w:val="none"/>
              </w:rPr>
            </w:pPr>
          </w:p>
        </w:tc>
        <w:tc>
          <w:tcPr>
            <w:tcW w:w="328" w:type="dxa"/>
            <w:vAlign w:val="center"/>
          </w:tcPr>
          <w:p>
            <w:pPr>
              <w:widowControl/>
              <w:jc w:val="center"/>
              <w:textAlignment w:val="center"/>
              <w:rPr>
                <w:rFonts w:cs="宋体" w:asciiTheme="minorEastAsia" w:hAnsiTheme="minorEastAsia"/>
                <w:color w:val="auto"/>
                <w:sz w:val="18"/>
                <w:szCs w:val="18"/>
                <w:highlight w:val="none"/>
              </w:rPr>
            </w:pPr>
          </w:p>
        </w:tc>
        <w:tc>
          <w:tcPr>
            <w:tcW w:w="419" w:type="dxa"/>
            <w:vAlign w:val="center"/>
          </w:tcPr>
          <w:p>
            <w:pPr>
              <w:widowControl/>
              <w:jc w:val="center"/>
              <w:textAlignment w:val="center"/>
              <w:rPr>
                <w:rFonts w:ascii="宋体" w:hAnsi="宋体" w:cs="宋体"/>
                <w:color w:val="auto"/>
                <w:kern w:val="0"/>
                <w:sz w:val="18"/>
                <w:szCs w:val="18"/>
                <w:highlight w:val="none"/>
              </w:rPr>
            </w:pPr>
          </w:p>
        </w:tc>
        <w:tc>
          <w:tcPr>
            <w:tcW w:w="679" w:type="dxa"/>
            <w:vAlign w:val="center"/>
          </w:tcPr>
          <w:p>
            <w:pPr>
              <w:widowControl/>
              <w:jc w:val="center"/>
              <w:textAlignment w:val="center"/>
              <w:rPr>
                <w:rFonts w:ascii="宋体" w:hAnsi="宋体" w:cs="宋体"/>
                <w:color w:val="auto"/>
                <w:kern w:val="0"/>
                <w:sz w:val="18"/>
                <w:szCs w:val="18"/>
                <w:highlight w:val="none"/>
              </w:rPr>
            </w:pPr>
          </w:p>
        </w:tc>
      </w:tr>
    </w:tbl>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表6 专业核心课程                                           </w:t>
      </w:r>
      <w:r>
        <w:rPr>
          <w:rFonts w:hint="eastAsia" w:asciiTheme="minorEastAsia" w:hAnsiTheme="minorEastAsia" w:cstheme="minorEastAsia"/>
          <w:color w:val="auto"/>
          <w:szCs w:val="21"/>
          <w:highlight w:val="none"/>
          <w:lang w:val="en-US" w:eastAsia="zh-CN"/>
        </w:rPr>
        <w:t xml:space="preserve">     </w:t>
      </w:r>
      <w:r>
        <w:rPr>
          <w:rFonts w:hint="eastAsia" w:asciiTheme="minorEastAsia" w:hAnsiTheme="minorEastAsia" w:cstheme="minorEastAsia"/>
          <w:color w:val="auto"/>
          <w:szCs w:val="21"/>
          <w:highlight w:val="none"/>
        </w:rPr>
        <w:t xml:space="preserve"> 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561"/>
        <w:gridCol w:w="584"/>
        <w:gridCol w:w="528"/>
        <w:gridCol w:w="544"/>
        <w:gridCol w:w="496"/>
        <w:gridCol w:w="464"/>
        <w:gridCol w:w="416"/>
        <w:gridCol w:w="424"/>
        <w:gridCol w:w="496"/>
        <w:gridCol w:w="376"/>
        <w:gridCol w:w="360"/>
        <w:gridCol w:w="328"/>
        <w:gridCol w:w="4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870" w:type="dxa"/>
            <w:vMerge w:val="restart"/>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课程</w:t>
            </w:r>
          </w:p>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217"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360"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43"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79" w:hRule="atLeas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561"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58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2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54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49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6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1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2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9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37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6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2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443"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BD050108</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财务管理</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56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8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2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6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1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49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7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3"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BD050131</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成本会计</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6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8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28"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544"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64"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2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96"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328"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43" w:type="dxa"/>
            <w:tcBorders>
              <w:tl2br w:val="nil"/>
              <w:tr2bl w:val="nil"/>
            </w:tcBorders>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考</w:t>
            </w:r>
          </w:p>
        </w:tc>
        <w:tc>
          <w:tcPr>
            <w:tcW w:w="679"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BD050103</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税务会计与税收筹划</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56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8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28"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544"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96"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64"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24"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9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376"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360"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328"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c>
          <w:tcPr>
            <w:tcW w:w="443" w:type="dxa"/>
            <w:tcBorders>
              <w:tl2br w:val="nil"/>
              <w:tr2bl w:val="nil"/>
            </w:tcBorders>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考</w:t>
            </w:r>
          </w:p>
        </w:tc>
        <w:tc>
          <w:tcPr>
            <w:tcW w:w="679"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BD050029</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计算机财务管理</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61" w:type="dxa"/>
            <w:tcBorders>
              <w:tl2br w:val="nil"/>
              <w:tr2bl w:val="nil"/>
            </w:tcBorders>
            <w:tcMar>
              <w:left w:w="57" w:type="dxa"/>
              <w:right w:w="57" w:type="dxa"/>
            </w:tcMar>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84" w:type="dxa"/>
            <w:tcBorders>
              <w:tl2br w:val="nil"/>
              <w:tr2bl w:val="nil"/>
            </w:tcBorders>
            <w:tcMar>
              <w:left w:w="57" w:type="dxa"/>
              <w:right w:w="57" w:type="dxa"/>
            </w:tcMar>
            <w:vAlign w:val="center"/>
          </w:tcPr>
          <w:p>
            <w:pPr>
              <w:jc w:val="center"/>
              <w:rPr>
                <w:color w:val="auto"/>
                <w:kern w:val="0"/>
                <w:sz w:val="18"/>
                <w:szCs w:val="18"/>
                <w:highlight w:val="none"/>
              </w:rPr>
            </w:pPr>
          </w:p>
        </w:tc>
        <w:tc>
          <w:tcPr>
            <w:tcW w:w="528" w:type="dxa"/>
            <w:tcBorders>
              <w:tl2br w:val="nil"/>
              <w:tr2bl w:val="nil"/>
            </w:tcBorders>
            <w:tcMar>
              <w:left w:w="57" w:type="dxa"/>
              <w:right w:w="57" w:type="dxa"/>
            </w:tcMar>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4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6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1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6" w:type="dxa"/>
            <w:tcBorders>
              <w:tl2br w:val="nil"/>
              <w:tr2bl w:val="nil"/>
            </w:tcBorders>
            <w:tcMar>
              <w:left w:w="57" w:type="dxa"/>
              <w:right w:w="57" w:type="dxa"/>
            </w:tcMar>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7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3" w:type="dxa"/>
            <w:tcBorders>
              <w:tl2br w:val="nil"/>
              <w:tr2bl w:val="nil"/>
            </w:tcBorders>
            <w:vAlign w:val="center"/>
          </w:tcPr>
          <w:p>
            <w:pPr>
              <w:widowControl/>
              <w:jc w:val="center"/>
              <w:textAlignment w:val="center"/>
              <w:rPr>
                <w:rFonts w:hint="eastAsia" w:ascii="宋体" w:hAnsi="宋体" w:cs="宋体" w:eastAsiaTheme="minorEastAsia"/>
                <w:color w:val="auto"/>
                <w:kern w:val="0"/>
                <w:sz w:val="18"/>
                <w:szCs w:val="18"/>
                <w:highlight w:val="none"/>
                <w:lang w:eastAsia="zh-CN"/>
              </w:rPr>
            </w:pPr>
            <w:r>
              <w:rPr>
                <w:rFonts w:hint="eastAsia" w:ascii="宋体" w:hAnsi="宋体" w:eastAsia="宋体" w:cs="宋体"/>
                <w:color w:val="auto"/>
                <w:kern w:val="0"/>
                <w:sz w:val="18"/>
                <w:szCs w:val="18"/>
                <w:highlight w:val="none"/>
                <w:lang w:val="en-US" w:eastAsia="zh-CN"/>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BD050096</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管理会计</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6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8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2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6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1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7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3"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BD050005</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电算会计</w:t>
            </w:r>
          </w:p>
        </w:tc>
        <w:tc>
          <w:tcPr>
            <w:tcW w:w="429"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61"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84" w:type="dxa"/>
            <w:vAlign w:val="center"/>
          </w:tcPr>
          <w:p>
            <w:pPr>
              <w:jc w:val="center"/>
              <w:rPr>
                <w:rFonts w:cs="宋体" w:asciiTheme="minorEastAsia" w:hAnsiTheme="minorEastAsia"/>
                <w:color w:val="auto"/>
                <w:sz w:val="18"/>
                <w:szCs w:val="18"/>
                <w:highlight w:val="none"/>
              </w:rPr>
            </w:pPr>
          </w:p>
        </w:tc>
        <w:tc>
          <w:tcPr>
            <w:tcW w:w="528"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44" w:type="dxa"/>
            <w:vAlign w:val="center"/>
          </w:tcPr>
          <w:p>
            <w:pPr>
              <w:jc w:val="center"/>
              <w:rPr>
                <w:rFonts w:cs="宋体" w:asciiTheme="minorEastAsia" w:hAnsiTheme="minorEastAsia"/>
                <w:color w:val="auto"/>
                <w:sz w:val="18"/>
                <w:szCs w:val="18"/>
                <w:highlight w:val="none"/>
              </w:rPr>
            </w:pPr>
          </w:p>
        </w:tc>
        <w:tc>
          <w:tcPr>
            <w:tcW w:w="496" w:type="dxa"/>
            <w:vAlign w:val="center"/>
          </w:tcPr>
          <w:p>
            <w:pPr>
              <w:jc w:val="center"/>
              <w:rPr>
                <w:rFonts w:cs="宋体" w:asciiTheme="minorEastAsia" w:hAnsiTheme="minorEastAsia"/>
                <w:color w:val="auto"/>
                <w:sz w:val="18"/>
                <w:szCs w:val="18"/>
                <w:highlight w:val="none"/>
              </w:rPr>
            </w:pPr>
          </w:p>
        </w:tc>
        <w:tc>
          <w:tcPr>
            <w:tcW w:w="464" w:type="dxa"/>
            <w:vAlign w:val="center"/>
          </w:tcPr>
          <w:p>
            <w:pPr>
              <w:jc w:val="center"/>
              <w:rPr>
                <w:rFonts w:cs="宋体" w:asciiTheme="minorEastAsia" w:hAnsiTheme="minorEastAsia"/>
                <w:color w:val="auto"/>
                <w:sz w:val="18"/>
                <w:szCs w:val="18"/>
                <w:highlight w:val="none"/>
              </w:rPr>
            </w:pPr>
          </w:p>
        </w:tc>
        <w:tc>
          <w:tcPr>
            <w:tcW w:w="416" w:type="dxa"/>
            <w:vAlign w:val="center"/>
          </w:tcPr>
          <w:p>
            <w:pPr>
              <w:jc w:val="center"/>
              <w:rPr>
                <w:rFonts w:cs="宋体" w:asciiTheme="minorEastAsia" w:hAnsiTheme="minorEastAsia"/>
                <w:color w:val="auto"/>
                <w:sz w:val="18"/>
                <w:szCs w:val="18"/>
                <w:highlight w:val="none"/>
              </w:rPr>
            </w:pPr>
          </w:p>
        </w:tc>
        <w:tc>
          <w:tcPr>
            <w:tcW w:w="424" w:type="dxa"/>
            <w:vAlign w:val="center"/>
          </w:tcPr>
          <w:p>
            <w:pPr>
              <w:jc w:val="center"/>
              <w:rPr>
                <w:rFonts w:cs="宋体" w:asciiTheme="minorEastAsia" w:hAnsiTheme="minorEastAsia"/>
                <w:color w:val="auto"/>
                <w:sz w:val="18"/>
                <w:szCs w:val="18"/>
                <w:highlight w:val="none"/>
              </w:rPr>
            </w:pPr>
          </w:p>
        </w:tc>
        <w:tc>
          <w:tcPr>
            <w:tcW w:w="496" w:type="dxa"/>
            <w:vAlign w:val="center"/>
          </w:tcPr>
          <w:p>
            <w:pPr>
              <w:jc w:val="center"/>
              <w:rPr>
                <w:rFonts w:cs="宋体" w:asciiTheme="minorEastAsia" w:hAnsiTheme="minorEastAsia"/>
                <w:color w:val="auto"/>
                <w:sz w:val="18"/>
                <w:szCs w:val="18"/>
                <w:highlight w:val="none"/>
              </w:rPr>
            </w:pPr>
          </w:p>
        </w:tc>
        <w:tc>
          <w:tcPr>
            <w:tcW w:w="376"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60"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43"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lang w:val="en-US" w:eastAsia="zh-CN"/>
              </w:rPr>
              <w:t>查</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BD050116</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审计学</w:t>
            </w:r>
          </w:p>
        </w:tc>
        <w:tc>
          <w:tcPr>
            <w:tcW w:w="429"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561"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84"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28" w:type="dxa"/>
            <w:vAlign w:val="center"/>
          </w:tcPr>
          <w:p>
            <w:pPr>
              <w:jc w:val="center"/>
              <w:rPr>
                <w:rFonts w:cs="宋体" w:asciiTheme="minorEastAsia" w:hAnsiTheme="minorEastAsia"/>
                <w:color w:val="auto"/>
                <w:sz w:val="18"/>
                <w:szCs w:val="18"/>
                <w:highlight w:val="none"/>
              </w:rPr>
            </w:pPr>
          </w:p>
        </w:tc>
        <w:tc>
          <w:tcPr>
            <w:tcW w:w="544" w:type="dxa"/>
            <w:vAlign w:val="center"/>
          </w:tcPr>
          <w:p>
            <w:pPr>
              <w:jc w:val="center"/>
              <w:rPr>
                <w:rFonts w:cs="宋体" w:asciiTheme="minorEastAsia" w:hAnsiTheme="minorEastAsia"/>
                <w:color w:val="auto"/>
                <w:sz w:val="18"/>
                <w:szCs w:val="18"/>
                <w:highlight w:val="none"/>
              </w:rPr>
            </w:pPr>
          </w:p>
        </w:tc>
        <w:tc>
          <w:tcPr>
            <w:tcW w:w="496" w:type="dxa"/>
            <w:vAlign w:val="center"/>
          </w:tcPr>
          <w:p>
            <w:pPr>
              <w:jc w:val="center"/>
              <w:rPr>
                <w:rFonts w:cs="宋体" w:asciiTheme="minorEastAsia" w:hAnsiTheme="minorEastAsia"/>
                <w:color w:val="auto"/>
                <w:sz w:val="18"/>
                <w:szCs w:val="18"/>
                <w:highlight w:val="none"/>
              </w:rPr>
            </w:pPr>
          </w:p>
        </w:tc>
        <w:tc>
          <w:tcPr>
            <w:tcW w:w="464" w:type="dxa"/>
            <w:vAlign w:val="center"/>
          </w:tcPr>
          <w:p>
            <w:pPr>
              <w:jc w:val="center"/>
              <w:rPr>
                <w:rFonts w:cs="宋体" w:asciiTheme="minorEastAsia" w:hAnsiTheme="minorEastAsia"/>
                <w:color w:val="auto"/>
                <w:sz w:val="18"/>
                <w:szCs w:val="18"/>
                <w:highlight w:val="none"/>
              </w:rPr>
            </w:pPr>
          </w:p>
        </w:tc>
        <w:tc>
          <w:tcPr>
            <w:tcW w:w="416" w:type="dxa"/>
            <w:vAlign w:val="center"/>
          </w:tcPr>
          <w:p>
            <w:pPr>
              <w:jc w:val="center"/>
              <w:rPr>
                <w:rFonts w:cs="宋体" w:asciiTheme="minorEastAsia" w:hAnsiTheme="minorEastAsia"/>
                <w:color w:val="auto"/>
                <w:sz w:val="18"/>
                <w:szCs w:val="18"/>
                <w:highlight w:val="none"/>
              </w:rPr>
            </w:pPr>
          </w:p>
        </w:tc>
        <w:tc>
          <w:tcPr>
            <w:tcW w:w="424" w:type="dxa"/>
            <w:vAlign w:val="center"/>
          </w:tcPr>
          <w:p>
            <w:pPr>
              <w:jc w:val="center"/>
              <w:rPr>
                <w:rFonts w:cs="宋体" w:asciiTheme="minorEastAsia" w:hAnsiTheme="minorEastAsia"/>
                <w:color w:val="auto"/>
                <w:sz w:val="18"/>
                <w:szCs w:val="18"/>
                <w:highlight w:val="none"/>
              </w:rPr>
            </w:pPr>
          </w:p>
        </w:tc>
        <w:tc>
          <w:tcPr>
            <w:tcW w:w="496" w:type="dxa"/>
            <w:vAlign w:val="center"/>
          </w:tcPr>
          <w:p>
            <w:pPr>
              <w:jc w:val="center"/>
              <w:rPr>
                <w:rFonts w:cs="宋体" w:asciiTheme="minorEastAsia" w:hAnsiTheme="minorEastAsia"/>
                <w:color w:val="auto"/>
                <w:sz w:val="18"/>
                <w:szCs w:val="18"/>
                <w:highlight w:val="none"/>
              </w:rPr>
            </w:pPr>
          </w:p>
        </w:tc>
        <w:tc>
          <w:tcPr>
            <w:tcW w:w="376"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360"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43"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BD050107</w:t>
            </w:r>
          </w:p>
        </w:tc>
        <w:tc>
          <w:tcPr>
            <w:tcW w:w="1356"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财务分析</w:t>
            </w:r>
          </w:p>
        </w:tc>
        <w:tc>
          <w:tcPr>
            <w:tcW w:w="429"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561"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84"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28" w:type="dxa"/>
            <w:vAlign w:val="center"/>
          </w:tcPr>
          <w:p>
            <w:pPr>
              <w:jc w:val="center"/>
              <w:rPr>
                <w:rFonts w:cs="宋体" w:asciiTheme="minorEastAsia" w:hAnsiTheme="minorEastAsia"/>
                <w:color w:val="auto"/>
                <w:sz w:val="18"/>
                <w:szCs w:val="18"/>
                <w:highlight w:val="none"/>
              </w:rPr>
            </w:pPr>
          </w:p>
        </w:tc>
        <w:tc>
          <w:tcPr>
            <w:tcW w:w="544" w:type="dxa"/>
            <w:vAlign w:val="center"/>
          </w:tcPr>
          <w:p>
            <w:pPr>
              <w:jc w:val="center"/>
              <w:rPr>
                <w:rFonts w:cs="宋体" w:asciiTheme="minorEastAsia" w:hAnsiTheme="minorEastAsia"/>
                <w:color w:val="auto"/>
                <w:sz w:val="18"/>
                <w:szCs w:val="18"/>
                <w:highlight w:val="none"/>
              </w:rPr>
            </w:pPr>
          </w:p>
        </w:tc>
        <w:tc>
          <w:tcPr>
            <w:tcW w:w="496" w:type="dxa"/>
            <w:vAlign w:val="center"/>
          </w:tcPr>
          <w:p>
            <w:pPr>
              <w:jc w:val="center"/>
              <w:rPr>
                <w:rFonts w:cs="宋体" w:asciiTheme="minorEastAsia" w:hAnsiTheme="minorEastAsia"/>
                <w:color w:val="auto"/>
                <w:sz w:val="18"/>
                <w:szCs w:val="18"/>
                <w:highlight w:val="none"/>
              </w:rPr>
            </w:pPr>
          </w:p>
        </w:tc>
        <w:tc>
          <w:tcPr>
            <w:tcW w:w="464" w:type="dxa"/>
            <w:vAlign w:val="top"/>
          </w:tcPr>
          <w:p>
            <w:pPr>
              <w:jc w:val="center"/>
              <w:rPr>
                <w:rFonts w:cs="宋体" w:asciiTheme="minorEastAsia" w:hAnsiTheme="minorEastAsia"/>
                <w:color w:val="auto"/>
                <w:sz w:val="18"/>
                <w:szCs w:val="18"/>
                <w:highlight w:val="none"/>
              </w:rPr>
            </w:pPr>
          </w:p>
        </w:tc>
        <w:tc>
          <w:tcPr>
            <w:tcW w:w="416" w:type="dxa"/>
            <w:vAlign w:val="top"/>
          </w:tcPr>
          <w:p>
            <w:pPr>
              <w:jc w:val="center"/>
              <w:rPr>
                <w:rFonts w:cs="宋体" w:asciiTheme="minorEastAsia" w:hAnsiTheme="minorEastAsia"/>
                <w:color w:val="auto"/>
                <w:sz w:val="18"/>
                <w:szCs w:val="18"/>
                <w:highlight w:val="none"/>
              </w:rPr>
            </w:pPr>
          </w:p>
        </w:tc>
        <w:tc>
          <w:tcPr>
            <w:tcW w:w="424" w:type="dxa"/>
            <w:vAlign w:val="top"/>
          </w:tcPr>
          <w:p>
            <w:pPr>
              <w:jc w:val="center"/>
              <w:rPr>
                <w:rFonts w:cs="宋体" w:asciiTheme="minorEastAsia" w:hAnsiTheme="minorEastAsia"/>
                <w:color w:val="auto"/>
                <w:sz w:val="18"/>
                <w:szCs w:val="18"/>
                <w:highlight w:val="none"/>
              </w:rPr>
            </w:pPr>
          </w:p>
        </w:tc>
        <w:tc>
          <w:tcPr>
            <w:tcW w:w="496" w:type="dxa"/>
            <w:vAlign w:val="top"/>
          </w:tcPr>
          <w:p>
            <w:pPr>
              <w:keepNext w:val="0"/>
              <w:keepLines w:val="0"/>
              <w:widowControl/>
              <w:suppressLineNumbers w:val="0"/>
              <w:jc w:val="center"/>
              <w:textAlignment w:val="top"/>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376" w:type="dxa"/>
            <w:vAlign w:val="center"/>
          </w:tcPr>
          <w:p>
            <w:pPr>
              <w:rPr>
                <w:rFonts w:cs="宋体" w:asciiTheme="minorEastAsia" w:hAnsiTheme="minorEastAsia"/>
                <w:color w:val="auto"/>
                <w:sz w:val="18"/>
                <w:szCs w:val="18"/>
                <w:highlight w:val="none"/>
              </w:rPr>
            </w:pPr>
          </w:p>
        </w:tc>
        <w:tc>
          <w:tcPr>
            <w:tcW w:w="360" w:type="dxa"/>
            <w:vAlign w:val="center"/>
          </w:tcPr>
          <w:p>
            <w:pPr>
              <w:jc w:val="center"/>
              <w:rPr>
                <w:rFonts w:cs="宋体" w:asciiTheme="minorEastAsia" w:hAnsiTheme="minorEastAsia"/>
                <w:color w:val="auto"/>
                <w:sz w:val="18"/>
                <w:szCs w:val="18"/>
                <w:highlight w:val="none"/>
              </w:rPr>
            </w:pPr>
          </w:p>
        </w:tc>
        <w:tc>
          <w:tcPr>
            <w:tcW w:w="328" w:type="dxa"/>
            <w:vAlign w:val="center"/>
          </w:tcPr>
          <w:p>
            <w:pPr>
              <w:jc w:val="center"/>
              <w:rPr>
                <w:rFonts w:cs="宋体" w:asciiTheme="minorEastAsia" w:hAnsiTheme="minorEastAsia"/>
                <w:color w:val="auto"/>
                <w:sz w:val="18"/>
                <w:szCs w:val="18"/>
                <w:highlight w:val="none"/>
              </w:rPr>
            </w:pPr>
          </w:p>
        </w:tc>
        <w:tc>
          <w:tcPr>
            <w:tcW w:w="443"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679"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top"/>
          </w:tcPr>
          <w:p>
            <w:pPr>
              <w:keepNext w:val="0"/>
              <w:keepLines w:val="0"/>
              <w:widowControl/>
              <w:suppressLineNumbers w:val="0"/>
              <w:jc w:val="center"/>
              <w:textAlignment w:val="top"/>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356" w:type="dxa"/>
            <w:vAlign w:val="center"/>
          </w:tcPr>
          <w:p>
            <w:pPr>
              <w:jc w:val="left"/>
              <w:rPr>
                <w:rFonts w:ascii="宋体" w:hAnsi="宋体" w:cs="宋体"/>
                <w:color w:val="auto"/>
                <w:kern w:val="0"/>
                <w:sz w:val="18"/>
                <w:szCs w:val="18"/>
                <w:highlight w:val="none"/>
              </w:rPr>
            </w:pPr>
          </w:p>
        </w:tc>
        <w:tc>
          <w:tcPr>
            <w:tcW w:w="429" w:type="dxa"/>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561" w:type="dxa"/>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384</w:t>
            </w:r>
          </w:p>
        </w:tc>
        <w:tc>
          <w:tcPr>
            <w:tcW w:w="584" w:type="dxa"/>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288</w:t>
            </w:r>
          </w:p>
        </w:tc>
        <w:tc>
          <w:tcPr>
            <w:tcW w:w="528"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96</w:t>
            </w:r>
          </w:p>
        </w:tc>
        <w:tc>
          <w:tcPr>
            <w:tcW w:w="544"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p>
        </w:tc>
        <w:tc>
          <w:tcPr>
            <w:tcW w:w="496"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p>
        </w:tc>
        <w:tc>
          <w:tcPr>
            <w:tcW w:w="464"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p>
        </w:tc>
        <w:tc>
          <w:tcPr>
            <w:tcW w:w="416"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p>
        </w:tc>
        <w:tc>
          <w:tcPr>
            <w:tcW w:w="424"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88</w:t>
            </w:r>
          </w:p>
        </w:tc>
        <w:tc>
          <w:tcPr>
            <w:tcW w:w="496"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192</w:t>
            </w:r>
          </w:p>
        </w:tc>
        <w:tc>
          <w:tcPr>
            <w:tcW w:w="376" w:type="dxa"/>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104</w:t>
            </w:r>
          </w:p>
        </w:tc>
        <w:tc>
          <w:tcPr>
            <w:tcW w:w="360" w:type="dxa"/>
            <w:vAlign w:val="center"/>
          </w:tcPr>
          <w:p>
            <w:pPr>
              <w:widowControl/>
              <w:jc w:val="center"/>
              <w:textAlignment w:val="center"/>
              <w:rPr>
                <w:rFonts w:cs="宋体" w:asciiTheme="minorEastAsia" w:hAnsiTheme="minorEastAsia"/>
                <w:color w:val="auto"/>
                <w:sz w:val="18"/>
                <w:szCs w:val="18"/>
                <w:highlight w:val="none"/>
              </w:rPr>
            </w:pPr>
          </w:p>
        </w:tc>
        <w:tc>
          <w:tcPr>
            <w:tcW w:w="328" w:type="dxa"/>
            <w:vAlign w:val="center"/>
          </w:tcPr>
          <w:p>
            <w:pPr>
              <w:widowControl/>
              <w:jc w:val="center"/>
              <w:textAlignment w:val="center"/>
              <w:rPr>
                <w:rFonts w:cs="宋体" w:asciiTheme="minorEastAsia" w:hAnsiTheme="minorEastAsia"/>
                <w:color w:val="auto"/>
                <w:sz w:val="18"/>
                <w:szCs w:val="18"/>
                <w:highlight w:val="none"/>
              </w:rPr>
            </w:pPr>
          </w:p>
        </w:tc>
        <w:tc>
          <w:tcPr>
            <w:tcW w:w="443" w:type="dxa"/>
            <w:vAlign w:val="center"/>
          </w:tcPr>
          <w:p>
            <w:pPr>
              <w:widowControl/>
              <w:jc w:val="center"/>
              <w:textAlignment w:val="center"/>
              <w:rPr>
                <w:rFonts w:ascii="宋体" w:hAnsi="宋体" w:cs="宋体"/>
                <w:color w:val="auto"/>
                <w:kern w:val="0"/>
                <w:sz w:val="18"/>
                <w:szCs w:val="18"/>
                <w:highlight w:val="none"/>
              </w:rPr>
            </w:pPr>
          </w:p>
        </w:tc>
        <w:tc>
          <w:tcPr>
            <w:tcW w:w="679" w:type="dxa"/>
            <w:vAlign w:val="center"/>
          </w:tcPr>
          <w:p>
            <w:pPr>
              <w:widowControl/>
              <w:jc w:val="center"/>
              <w:textAlignment w:val="center"/>
              <w:rPr>
                <w:rFonts w:ascii="宋体" w:hAnsi="宋体" w:cs="宋体"/>
                <w:color w:val="auto"/>
                <w:kern w:val="0"/>
                <w:sz w:val="18"/>
                <w:szCs w:val="18"/>
                <w:highlight w:val="none"/>
              </w:rPr>
            </w:pPr>
          </w:p>
        </w:tc>
      </w:tr>
    </w:tbl>
    <w:p>
      <w:pPr>
        <w:spacing w:line="440" w:lineRule="exact"/>
        <w:ind w:left="420" w:leftChars="200"/>
        <w:jc w:val="left"/>
        <w:rPr>
          <w:rFonts w:asciiTheme="minorEastAsia" w:hAnsiTheme="minorEastAsia" w:cstheme="minorEastAsia"/>
          <w:color w:val="auto"/>
          <w:szCs w:val="21"/>
          <w:highlight w:val="none"/>
        </w:rPr>
      </w:pPr>
    </w:p>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表8 专业方向课程                                            </w:t>
      </w:r>
      <w:r>
        <w:rPr>
          <w:rFonts w:hint="eastAsia" w:asciiTheme="minorEastAsia" w:hAnsiTheme="minorEastAsia" w:cstheme="minorEastAsia"/>
          <w:color w:val="auto"/>
          <w:szCs w:val="21"/>
          <w:highlight w:val="none"/>
          <w:lang w:val="en-US" w:eastAsia="zh-CN"/>
        </w:rPr>
        <w:t xml:space="preserve">     </w:t>
      </w:r>
      <w:r>
        <w:rPr>
          <w:rFonts w:hint="eastAsia" w:asciiTheme="minorEastAsia" w:hAnsiTheme="minorEastAsia" w:cstheme="minorEastAsia"/>
          <w:color w:val="auto"/>
          <w:szCs w:val="21"/>
          <w:highlight w:val="none"/>
        </w:rPr>
        <w:t>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553"/>
        <w:gridCol w:w="608"/>
        <w:gridCol w:w="536"/>
        <w:gridCol w:w="520"/>
        <w:gridCol w:w="512"/>
        <w:gridCol w:w="440"/>
        <w:gridCol w:w="432"/>
        <w:gridCol w:w="440"/>
        <w:gridCol w:w="480"/>
        <w:gridCol w:w="392"/>
        <w:gridCol w:w="320"/>
        <w:gridCol w:w="360"/>
        <w:gridCol w:w="427"/>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8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217"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376"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27"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553"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60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3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52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51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4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3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4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8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39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2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6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427"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XE050021</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管理心理学</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XE050134</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Python数据分析基础</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3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XE050022</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管理信息系统</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53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XE050011</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非营利组织会计</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XE050032</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国际贸易实务</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XE050042</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金融企业会计</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8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XE050029</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国际金融</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XE050072</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预算会计</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53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XE050013</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高级财务管理</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XE050001</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ERP供应链管理</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3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3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2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XE050137</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个人理财</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2.5</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40</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40</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cs="宋体" w:asciiTheme="minorEastAsia" w:hAnsiTheme="minorEastAsia"/>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40</w:t>
            </w:r>
          </w:p>
        </w:tc>
        <w:tc>
          <w:tcPr>
            <w:tcW w:w="39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XE050003</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财务案例</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39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2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XE050166</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资产评估</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92"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XE050132</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商务数据分析</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3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2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9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20" w:type="dxa"/>
            <w:tcBorders>
              <w:tl2br w:val="nil"/>
              <w:tr2bl w:val="nil"/>
            </w:tcBorders>
            <w:tcMar>
              <w:left w:w="57" w:type="dxa"/>
              <w:right w:w="57" w:type="dxa"/>
            </w:tcMar>
          </w:tcPr>
          <w:p>
            <w:pPr>
              <w:widowControl/>
              <w:jc w:val="center"/>
              <w:textAlignment w:val="center"/>
              <w:rPr>
                <w:rFonts w:ascii="宋体" w:hAnsi="宋体" w:eastAsia="宋体" w:cs="宋体"/>
                <w:color w:val="auto"/>
                <w:kern w:val="0"/>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20"/>
                <w:szCs w:val="20"/>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XE050074</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证券投资</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3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XE050044</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内部控制</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XE050027</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国际结算</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XE050145</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会计专业英语</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tcBorders>
              <w:tl2br w:val="nil"/>
              <w:tr2bl w:val="nil"/>
            </w:tcBorders>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08"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5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9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32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360" w:type="dxa"/>
            <w:tcBorders>
              <w:tl2br w:val="nil"/>
              <w:tr2bl w:val="nil"/>
            </w:tcBorders>
            <w:tcMar>
              <w:left w:w="57" w:type="dxa"/>
              <w:right w:w="57" w:type="dxa"/>
            </w:tcMar>
          </w:tcPr>
          <w:p>
            <w:pPr>
              <w:jc w:val="center"/>
              <w:rPr>
                <w:rFonts w:cs="宋体" w:asciiTheme="minorEastAsia" w:hAnsiTheme="minorEastAsia"/>
                <w:color w:val="auto"/>
                <w:sz w:val="18"/>
                <w:szCs w:val="18"/>
                <w:highlight w:val="none"/>
              </w:rPr>
            </w:pPr>
          </w:p>
        </w:tc>
        <w:tc>
          <w:tcPr>
            <w:tcW w:w="427"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356" w:type="dxa"/>
            <w:tcBorders>
              <w:tl2br w:val="nil"/>
              <w:tr2bl w:val="nil"/>
            </w:tcBorders>
            <w:tcMar>
              <w:left w:w="57" w:type="dxa"/>
              <w:right w:w="57" w:type="dxa"/>
            </w:tcMar>
            <w:vAlign w:val="center"/>
          </w:tcPr>
          <w:p>
            <w:pPr>
              <w:jc w:val="both"/>
              <w:rPr>
                <w:rFonts w:cs="宋体" w:asciiTheme="minorEastAsia" w:hAnsiTheme="minorEastAsia"/>
                <w:color w:val="auto"/>
                <w:sz w:val="18"/>
                <w:szCs w:val="18"/>
                <w:highlight w:val="none"/>
              </w:rPr>
            </w:pP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5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208</w:t>
            </w:r>
          </w:p>
        </w:tc>
        <w:tc>
          <w:tcPr>
            <w:tcW w:w="6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2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32</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128</w:t>
            </w:r>
          </w:p>
        </w:tc>
        <w:tc>
          <w:tcPr>
            <w:tcW w:w="39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2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6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27" w:type="dxa"/>
            <w:tcBorders>
              <w:tl2br w:val="nil"/>
              <w:tr2bl w:val="nil"/>
            </w:tcBorders>
            <w:vAlign w:val="center"/>
          </w:tcPr>
          <w:p>
            <w:pPr>
              <w:rPr>
                <w:rFonts w:cs="宋体" w:asciiTheme="minorEastAsia" w:hAnsiTheme="minorEastAsia"/>
                <w:color w:val="auto"/>
                <w:sz w:val="18"/>
                <w:szCs w:val="18"/>
                <w:highlight w:val="none"/>
              </w:rPr>
            </w:pPr>
          </w:p>
          <w:p>
            <w:pPr>
              <w:rPr>
                <w:color w:val="auto"/>
                <w:highlight w:val="none"/>
              </w:rPr>
            </w:pPr>
          </w:p>
        </w:tc>
        <w:tc>
          <w:tcPr>
            <w:tcW w:w="679" w:type="dxa"/>
            <w:tcBorders>
              <w:tl2br w:val="nil"/>
              <w:tr2bl w:val="nil"/>
            </w:tcBorders>
            <w:tcMar>
              <w:left w:w="57" w:type="dxa"/>
              <w:right w:w="57" w:type="dxa"/>
            </w:tcMar>
            <w:vAlign w:val="center"/>
          </w:tcPr>
          <w:p>
            <w:pPr>
              <w:rPr>
                <w:rFonts w:cs="宋体" w:asciiTheme="minorEastAsia" w:hAnsiTheme="minorEastAsia"/>
                <w:color w:val="auto"/>
                <w:sz w:val="18"/>
                <w:szCs w:val="18"/>
                <w:highlight w:val="none"/>
              </w:rPr>
            </w:pPr>
          </w:p>
        </w:tc>
      </w:tr>
    </w:tbl>
    <w:p>
      <w:pPr>
        <w:spacing w:line="440" w:lineRule="exact"/>
        <w:ind w:left="420" w:leftChars="200"/>
        <w:jc w:val="left"/>
        <w:rPr>
          <w:rFonts w:asciiTheme="minorEastAsia" w:hAnsiTheme="minorEastAsia" w:cstheme="minorEastAsia"/>
          <w:color w:val="auto"/>
          <w:szCs w:val="21"/>
          <w:highlight w:val="none"/>
        </w:rPr>
      </w:pPr>
      <w:r>
        <w:rPr>
          <w:rFonts w:hint="eastAsia" w:cs="宋体" w:asciiTheme="minorEastAsia" w:hAnsiTheme="minorEastAsia"/>
          <w:color w:val="auto"/>
          <w:sz w:val="18"/>
          <w:szCs w:val="18"/>
          <w:highlight w:val="none"/>
        </w:rPr>
        <w:t>备注：最低选修</w:t>
      </w:r>
      <w:r>
        <w:rPr>
          <w:rFonts w:hint="eastAsia" w:cs="宋体" w:asciiTheme="minorEastAsia" w:hAnsiTheme="minorEastAsia"/>
          <w:color w:val="auto"/>
          <w:sz w:val="18"/>
          <w:szCs w:val="18"/>
          <w:highlight w:val="none"/>
          <w:lang w:val="en-US" w:eastAsia="zh-CN"/>
        </w:rPr>
        <w:t>13</w:t>
      </w:r>
      <w:r>
        <w:rPr>
          <w:rFonts w:hint="eastAsia" w:cs="宋体" w:asciiTheme="minorEastAsia" w:hAnsiTheme="minorEastAsia"/>
          <w:color w:val="auto"/>
          <w:sz w:val="18"/>
          <w:szCs w:val="18"/>
          <w:highlight w:val="none"/>
        </w:rPr>
        <w:t>学分。</w:t>
      </w:r>
    </w:p>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表8专业拓展课程                                           </w:t>
      </w:r>
      <w:r>
        <w:rPr>
          <w:rFonts w:hint="eastAsia" w:asciiTheme="minorEastAsia" w:hAnsiTheme="minorEastAsia" w:cstheme="minorEastAsia"/>
          <w:color w:val="auto"/>
          <w:szCs w:val="21"/>
          <w:highlight w:val="none"/>
          <w:lang w:val="en-US" w:eastAsia="zh-CN"/>
        </w:rPr>
        <w:t xml:space="preserve">     </w:t>
      </w:r>
      <w:r>
        <w:rPr>
          <w:rFonts w:hint="eastAsia" w:asciiTheme="minorEastAsia" w:hAnsiTheme="minorEastAsia" w:cstheme="minorEastAsia"/>
          <w:color w:val="auto"/>
          <w:szCs w:val="21"/>
          <w:highlight w:val="none"/>
        </w:rPr>
        <w:t xml:space="preserve"> 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529"/>
        <w:gridCol w:w="552"/>
        <w:gridCol w:w="544"/>
        <w:gridCol w:w="560"/>
        <w:gridCol w:w="416"/>
        <w:gridCol w:w="472"/>
        <w:gridCol w:w="472"/>
        <w:gridCol w:w="408"/>
        <w:gridCol w:w="432"/>
        <w:gridCol w:w="440"/>
        <w:gridCol w:w="368"/>
        <w:gridCol w:w="352"/>
        <w:gridCol w:w="475"/>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8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185"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360"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75"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00" w:hRule="atLeas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529"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55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4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56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41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7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7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0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3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4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6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5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475"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XF050015</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人力资源管理</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5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4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368" w:type="dxa"/>
            <w:tcBorders>
              <w:tl2br w:val="nil"/>
              <w:tr2bl w:val="nil"/>
            </w:tcBorders>
            <w:tcMar>
              <w:left w:w="57" w:type="dxa"/>
              <w:right w:w="57" w:type="dxa"/>
            </w:tcMar>
          </w:tcPr>
          <w:p>
            <w:pPr>
              <w:jc w:val="center"/>
              <w:rPr>
                <w:rFonts w:ascii="宋体" w:hAnsi="宋体" w:eastAsia="宋体" w:cs="宋体"/>
                <w:color w:val="auto"/>
                <w:kern w:val="0"/>
                <w:sz w:val="18"/>
                <w:szCs w:val="18"/>
                <w:highlight w:val="none"/>
              </w:rPr>
            </w:pPr>
          </w:p>
        </w:tc>
        <w:tc>
          <w:tcPr>
            <w:tcW w:w="352" w:type="dxa"/>
            <w:tcBorders>
              <w:tl2br w:val="nil"/>
              <w:tr2bl w:val="nil"/>
            </w:tcBorders>
            <w:tcMar>
              <w:left w:w="57" w:type="dxa"/>
              <w:right w:w="57" w:type="dxa"/>
            </w:tcMar>
          </w:tcPr>
          <w:p>
            <w:pPr>
              <w:jc w:val="center"/>
              <w:rPr>
                <w:rFonts w:ascii="宋体" w:hAnsi="宋体" w:eastAsia="宋体" w:cs="宋体"/>
                <w:color w:val="auto"/>
                <w:kern w:val="0"/>
                <w:sz w:val="18"/>
                <w:szCs w:val="18"/>
                <w:highlight w:val="none"/>
              </w:rPr>
            </w:pPr>
          </w:p>
        </w:tc>
        <w:tc>
          <w:tcPr>
            <w:tcW w:w="475"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XF050040</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公司战略与风险管理</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4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32</w:t>
            </w:r>
          </w:p>
        </w:tc>
        <w:tc>
          <w:tcPr>
            <w:tcW w:w="368" w:type="dxa"/>
            <w:tcBorders>
              <w:tl2br w:val="nil"/>
              <w:tr2bl w:val="nil"/>
            </w:tcBorders>
            <w:tcMar>
              <w:left w:w="57" w:type="dxa"/>
              <w:right w:w="57" w:type="dxa"/>
            </w:tcMar>
          </w:tcPr>
          <w:p>
            <w:pPr>
              <w:jc w:val="center"/>
              <w:rPr>
                <w:rFonts w:ascii="宋体" w:hAnsi="宋体" w:eastAsia="宋体" w:cs="宋体"/>
                <w:color w:val="auto"/>
                <w:kern w:val="0"/>
                <w:sz w:val="18"/>
                <w:szCs w:val="18"/>
                <w:highlight w:val="none"/>
              </w:rPr>
            </w:pPr>
          </w:p>
        </w:tc>
        <w:tc>
          <w:tcPr>
            <w:tcW w:w="352" w:type="dxa"/>
            <w:tcBorders>
              <w:tl2br w:val="nil"/>
              <w:tr2bl w:val="nil"/>
            </w:tcBorders>
            <w:tcMar>
              <w:left w:w="57" w:type="dxa"/>
              <w:right w:w="57" w:type="dxa"/>
            </w:tcMar>
          </w:tcPr>
          <w:p>
            <w:pPr>
              <w:jc w:val="center"/>
              <w:rPr>
                <w:rFonts w:ascii="宋体" w:hAnsi="宋体" w:eastAsia="宋体" w:cs="宋体"/>
                <w:color w:val="auto"/>
                <w:kern w:val="0"/>
                <w:sz w:val="18"/>
                <w:szCs w:val="18"/>
                <w:highlight w:val="none"/>
              </w:rPr>
            </w:pPr>
          </w:p>
        </w:tc>
        <w:tc>
          <w:tcPr>
            <w:tcW w:w="475"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XF050070</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电子商务</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4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36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352"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75"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XF050014</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企业价值评估</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4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36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352"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75"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XF050081</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投资与理财</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55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54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36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352"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75"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XF050042</w:t>
            </w:r>
          </w:p>
        </w:tc>
        <w:tc>
          <w:tcPr>
            <w:tcW w:w="1356"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论文设计与写作</w:t>
            </w:r>
          </w:p>
        </w:tc>
        <w:tc>
          <w:tcPr>
            <w:tcW w:w="4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5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4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1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36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352"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75"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67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top"/>
          </w:tcPr>
          <w:p>
            <w:pPr>
              <w:keepNext w:val="0"/>
              <w:keepLines w:val="0"/>
              <w:widowControl/>
              <w:suppressLineNumbers w:val="0"/>
              <w:jc w:val="center"/>
              <w:textAlignment w:val="top"/>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356" w:type="dxa"/>
            <w:vAlign w:val="center"/>
          </w:tcPr>
          <w:p>
            <w:pPr>
              <w:jc w:val="both"/>
              <w:rPr>
                <w:rFonts w:ascii="宋体" w:hAnsi="宋体" w:eastAsia="宋体" w:cs="宋体"/>
                <w:color w:val="auto"/>
                <w:kern w:val="0"/>
                <w:sz w:val="18"/>
                <w:szCs w:val="18"/>
                <w:highlight w:val="none"/>
              </w:rPr>
            </w:pPr>
          </w:p>
        </w:tc>
        <w:tc>
          <w:tcPr>
            <w:tcW w:w="4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5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55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544" w:type="dxa"/>
            <w:vAlign w:val="center"/>
          </w:tcPr>
          <w:p>
            <w:pPr>
              <w:jc w:val="center"/>
              <w:rPr>
                <w:rFonts w:ascii="宋体" w:hAnsi="宋体" w:eastAsia="宋体" w:cs="宋体"/>
                <w:color w:val="auto"/>
                <w:kern w:val="0"/>
                <w:sz w:val="18"/>
                <w:szCs w:val="18"/>
                <w:highlight w:val="none"/>
              </w:rPr>
            </w:pPr>
          </w:p>
        </w:tc>
        <w:tc>
          <w:tcPr>
            <w:tcW w:w="560" w:type="dxa"/>
            <w:vAlign w:val="center"/>
          </w:tcPr>
          <w:p>
            <w:pPr>
              <w:jc w:val="center"/>
              <w:rPr>
                <w:rFonts w:ascii="宋体" w:hAnsi="宋体" w:eastAsia="宋体" w:cs="宋体"/>
                <w:color w:val="auto"/>
                <w:kern w:val="0"/>
                <w:sz w:val="18"/>
                <w:szCs w:val="18"/>
                <w:highlight w:val="none"/>
              </w:rPr>
            </w:pPr>
          </w:p>
        </w:tc>
        <w:tc>
          <w:tcPr>
            <w:tcW w:w="416" w:type="dxa"/>
            <w:vAlign w:val="center"/>
          </w:tcPr>
          <w:p>
            <w:pPr>
              <w:jc w:val="center"/>
              <w:rPr>
                <w:rFonts w:ascii="宋体" w:hAnsi="宋体" w:eastAsia="宋体" w:cs="宋体"/>
                <w:color w:val="auto"/>
                <w:kern w:val="0"/>
                <w:sz w:val="18"/>
                <w:szCs w:val="18"/>
                <w:highlight w:val="none"/>
              </w:rPr>
            </w:pPr>
          </w:p>
        </w:tc>
        <w:tc>
          <w:tcPr>
            <w:tcW w:w="472" w:type="dxa"/>
            <w:vAlign w:val="center"/>
          </w:tcPr>
          <w:p>
            <w:pPr>
              <w:jc w:val="center"/>
              <w:rPr>
                <w:rFonts w:ascii="宋体" w:hAnsi="宋体" w:eastAsia="宋体" w:cs="宋体"/>
                <w:color w:val="auto"/>
                <w:kern w:val="0"/>
                <w:sz w:val="18"/>
                <w:szCs w:val="18"/>
                <w:highlight w:val="none"/>
              </w:rPr>
            </w:pPr>
          </w:p>
        </w:tc>
        <w:tc>
          <w:tcPr>
            <w:tcW w:w="472" w:type="dxa"/>
            <w:vAlign w:val="center"/>
          </w:tcPr>
          <w:p>
            <w:pPr>
              <w:jc w:val="center"/>
              <w:rPr>
                <w:rFonts w:ascii="宋体" w:hAnsi="宋体" w:eastAsia="宋体" w:cs="宋体"/>
                <w:color w:val="auto"/>
                <w:kern w:val="0"/>
                <w:sz w:val="18"/>
                <w:szCs w:val="18"/>
                <w:highlight w:val="none"/>
              </w:rPr>
            </w:pPr>
          </w:p>
        </w:tc>
        <w:tc>
          <w:tcPr>
            <w:tcW w:w="408" w:type="dxa"/>
            <w:vAlign w:val="center"/>
          </w:tcPr>
          <w:p>
            <w:pPr>
              <w:jc w:val="center"/>
              <w:rPr>
                <w:rFonts w:ascii="宋体" w:hAnsi="宋体" w:eastAsia="宋体" w:cs="宋体"/>
                <w:color w:val="auto"/>
                <w:kern w:val="0"/>
                <w:sz w:val="18"/>
                <w:szCs w:val="18"/>
                <w:highlight w:val="none"/>
              </w:rPr>
            </w:pPr>
          </w:p>
        </w:tc>
        <w:tc>
          <w:tcPr>
            <w:tcW w:w="432" w:type="dxa"/>
            <w:vAlign w:val="center"/>
          </w:tcPr>
          <w:p>
            <w:pPr>
              <w:jc w:val="center"/>
              <w:rPr>
                <w:rFonts w:ascii="宋体" w:hAnsi="宋体" w:eastAsia="宋体" w:cs="宋体"/>
                <w:color w:val="auto"/>
                <w:kern w:val="0"/>
                <w:sz w:val="18"/>
                <w:szCs w:val="18"/>
                <w:highlight w:val="none"/>
              </w:rPr>
            </w:pPr>
          </w:p>
        </w:tc>
        <w:tc>
          <w:tcPr>
            <w:tcW w:w="44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368" w:type="dxa"/>
            <w:vAlign w:val="center"/>
          </w:tcPr>
          <w:p>
            <w:pPr>
              <w:rPr>
                <w:rFonts w:ascii="宋体" w:hAnsi="宋体" w:eastAsia="宋体" w:cs="宋体"/>
                <w:color w:val="auto"/>
                <w:kern w:val="0"/>
                <w:sz w:val="18"/>
                <w:szCs w:val="18"/>
                <w:highlight w:val="none"/>
              </w:rPr>
            </w:pPr>
          </w:p>
        </w:tc>
        <w:tc>
          <w:tcPr>
            <w:tcW w:w="352" w:type="dxa"/>
            <w:vAlign w:val="center"/>
          </w:tcPr>
          <w:p>
            <w:pPr>
              <w:rPr>
                <w:rFonts w:ascii="宋体" w:hAnsi="宋体" w:eastAsia="宋体" w:cs="宋体"/>
                <w:color w:val="auto"/>
                <w:kern w:val="0"/>
                <w:sz w:val="18"/>
                <w:szCs w:val="18"/>
                <w:highlight w:val="none"/>
              </w:rPr>
            </w:pPr>
          </w:p>
        </w:tc>
        <w:tc>
          <w:tcPr>
            <w:tcW w:w="475" w:type="dxa"/>
            <w:vAlign w:val="center"/>
          </w:tcPr>
          <w:p>
            <w:pPr>
              <w:rPr>
                <w:rFonts w:ascii="宋体" w:hAnsi="宋体" w:eastAsia="宋体" w:cs="宋体"/>
                <w:color w:val="auto"/>
                <w:kern w:val="0"/>
                <w:sz w:val="18"/>
                <w:szCs w:val="18"/>
                <w:highlight w:val="none"/>
              </w:rPr>
            </w:pPr>
          </w:p>
        </w:tc>
        <w:tc>
          <w:tcPr>
            <w:tcW w:w="679" w:type="dxa"/>
            <w:vAlign w:val="center"/>
          </w:tcPr>
          <w:p>
            <w:pPr>
              <w:rPr>
                <w:rFonts w:ascii="宋体" w:hAnsi="宋体" w:eastAsia="宋体" w:cs="宋体"/>
                <w:color w:val="auto"/>
                <w:kern w:val="0"/>
                <w:sz w:val="18"/>
                <w:szCs w:val="18"/>
                <w:highlight w:val="none"/>
              </w:rPr>
            </w:pPr>
          </w:p>
        </w:tc>
      </w:tr>
    </w:tbl>
    <w:p>
      <w:pPr>
        <w:spacing w:line="440" w:lineRule="exact"/>
        <w:ind w:left="420" w:leftChars="200"/>
        <w:jc w:val="left"/>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备注：最低选修</w:t>
      </w:r>
      <w:r>
        <w:rPr>
          <w:rFonts w:hint="eastAsia" w:cs="宋体" w:asciiTheme="minorEastAsia" w:hAnsiTheme="minorEastAsia"/>
          <w:color w:val="auto"/>
          <w:sz w:val="18"/>
          <w:szCs w:val="18"/>
          <w:highlight w:val="none"/>
          <w:lang w:val="en-US" w:eastAsia="zh-CN"/>
        </w:rPr>
        <w:t>4</w:t>
      </w:r>
      <w:r>
        <w:rPr>
          <w:rFonts w:hint="eastAsia" w:cs="宋体" w:asciiTheme="minorEastAsia" w:hAnsiTheme="minorEastAsia"/>
          <w:color w:val="auto"/>
          <w:sz w:val="18"/>
          <w:szCs w:val="18"/>
          <w:highlight w:val="none"/>
        </w:rPr>
        <w:t>学分。</w:t>
      </w:r>
    </w:p>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表9 基础实践课程                                           </w:t>
      </w:r>
      <w:r>
        <w:rPr>
          <w:rFonts w:hint="eastAsia" w:asciiTheme="minorEastAsia" w:hAnsiTheme="minorEastAsia" w:cstheme="minorEastAsia"/>
          <w:color w:val="auto"/>
          <w:szCs w:val="21"/>
          <w:highlight w:val="none"/>
          <w:lang w:val="en-US" w:eastAsia="zh-CN"/>
        </w:rPr>
        <w:t xml:space="preserve">   </w:t>
      </w:r>
      <w:r>
        <w:rPr>
          <w:rFonts w:hint="eastAsia" w:asciiTheme="minorEastAsia" w:hAnsiTheme="minorEastAsia" w:cstheme="minorEastAsia"/>
          <w:color w:val="auto"/>
          <w:szCs w:val="21"/>
          <w:highlight w:val="none"/>
        </w:rPr>
        <w:t xml:space="preserve"> 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3788"/>
        <w:gridCol w:w="782"/>
        <w:gridCol w:w="1080"/>
        <w:gridCol w:w="985"/>
        <w:gridCol w:w="16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032" w:type="dxa"/>
            <w:tcBorders>
              <w:tl2br w:val="nil"/>
              <w:tr2bl w:val="nil"/>
            </w:tcBorders>
            <w:vAlign w:val="center"/>
          </w:tcPr>
          <w:p>
            <w:pPr>
              <w:spacing w:line="460" w:lineRule="exact"/>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课程代码</w:t>
            </w:r>
          </w:p>
        </w:tc>
        <w:tc>
          <w:tcPr>
            <w:tcW w:w="3800"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课程名称</w:t>
            </w:r>
          </w:p>
        </w:tc>
        <w:tc>
          <w:tcPr>
            <w:tcW w:w="784"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学分</w:t>
            </w:r>
          </w:p>
        </w:tc>
        <w:tc>
          <w:tcPr>
            <w:tcW w:w="1083"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学时（周）</w:t>
            </w:r>
          </w:p>
        </w:tc>
        <w:tc>
          <w:tcPr>
            <w:tcW w:w="988"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开设学期</w:t>
            </w:r>
          </w:p>
        </w:tc>
        <w:tc>
          <w:tcPr>
            <w:tcW w:w="1695"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kern w:val="0"/>
                <w:sz w:val="18"/>
                <w:szCs w:val="18"/>
                <w:highlight w:val="none"/>
                <w:lang w:bidi="ar"/>
              </w:rPr>
              <w:t>BG08000</w:t>
            </w:r>
            <w:r>
              <w:rPr>
                <w:rFonts w:hint="eastAsia" w:ascii="宋体" w:hAnsi="宋体" w:cs="宋体"/>
                <w:color w:val="auto"/>
                <w:kern w:val="0"/>
                <w:sz w:val="18"/>
                <w:szCs w:val="18"/>
                <w:highlight w:val="none"/>
                <w:lang w:bidi="ar"/>
              </w:rPr>
              <w:t>3</w:t>
            </w:r>
          </w:p>
        </w:tc>
        <w:tc>
          <w:tcPr>
            <w:tcW w:w="3800" w:type="dxa"/>
            <w:tcBorders>
              <w:tl2br w:val="nil"/>
              <w:tr2bl w:val="nil"/>
            </w:tcBorders>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入学教育、军事技能</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2</w:t>
            </w:r>
          </w:p>
        </w:tc>
        <w:tc>
          <w:tcPr>
            <w:tcW w:w="108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98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1</w:t>
            </w:r>
          </w:p>
        </w:tc>
        <w:tc>
          <w:tcPr>
            <w:tcW w:w="169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BG100001</w:t>
            </w:r>
          </w:p>
        </w:tc>
        <w:tc>
          <w:tcPr>
            <w:tcW w:w="3800" w:type="dxa"/>
            <w:tcBorders>
              <w:tl2br w:val="nil"/>
              <w:tr2bl w:val="nil"/>
            </w:tcBorders>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专业与公益劳动</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2</w:t>
            </w:r>
          </w:p>
        </w:tc>
        <w:tc>
          <w:tcPr>
            <w:tcW w:w="108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98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p>
        </w:tc>
        <w:tc>
          <w:tcPr>
            <w:tcW w:w="1695"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exact"/>
          <w:jc w:val="center"/>
        </w:trPr>
        <w:tc>
          <w:tcPr>
            <w:tcW w:w="1032"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BG060001</w:t>
            </w:r>
          </w:p>
        </w:tc>
        <w:tc>
          <w:tcPr>
            <w:tcW w:w="3800" w:type="dxa"/>
            <w:tcBorders>
              <w:tl2br w:val="nil"/>
              <w:tr2bl w:val="nil"/>
            </w:tcBorders>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大学生体质健康测试</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0.5</w:t>
            </w:r>
          </w:p>
        </w:tc>
        <w:tc>
          <w:tcPr>
            <w:tcW w:w="108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988"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69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BG090001</w:t>
            </w:r>
          </w:p>
        </w:tc>
        <w:tc>
          <w:tcPr>
            <w:tcW w:w="3800" w:type="dxa"/>
            <w:tcBorders>
              <w:tl2br w:val="nil"/>
              <w:tr2bl w:val="nil"/>
            </w:tcBorders>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思想政治理论课实践教学</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2</w:t>
            </w:r>
          </w:p>
        </w:tc>
        <w:tc>
          <w:tcPr>
            <w:tcW w:w="108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98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假期</w:t>
            </w:r>
          </w:p>
        </w:tc>
        <w:tc>
          <w:tcPr>
            <w:tcW w:w="169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exact"/>
          <w:jc w:val="center"/>
        </w:trPr>
        <w:tc>
          <w:tcPr>
            <w:tcW w:w="1032"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BG080002</w:t>
            </w:r>
          </w:p>
        </w:tc>
        <w:tc>
          <w:tcPr>
            <w:tcW w:w="3800" w:type="dxa"/>
            <w:tcBorders>
              <w:tl2br w:val="nil"/>
              <w:tr2bl w:val="nil"/>
            </w:tcBorders>
            <w:vAlign w:val="center"/>
          </w:tcPr>
          <w:p>
            <w:pPr>
              <w:widowControl/>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《大学生职业生涯发展与就业指导》实践教学</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0.5</w:t>
            </w:r>
          </w:p>
        </w:tc>
        <w:tc>
          <w:tcPr>
            <w:tcW w:w="108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988"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69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BG160001</w:t>
            </w:r>
          </w:p>
        </w:tc>
        <w:tc>
          <w:tcPr>
            <w:tcW w:w="3800" w:type="dxa"/>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社会实践与调查报告</w:t>
            </w:r>
          </w:p>
        </w:tc>
        <w:tc>
          <w:tcPr>
            <w:tcW w:w="784" w:type="dxa"/>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1</w:t>
            </w:r>
          </w:p>
        </w:tc>
        <w:tc>
          <w:tcPr>
            <w:tcW w:w="1083" w:type="dxa"/>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988" w:type="dxa"/>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假期</w:t>
            </w:r>
          </w:p>
        </w:tc>
        <w:tc>
          <w:tcPr>
            <w:tcW w:w="1695" w:type="dxa"/>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BG160002</w:t>
            </w:r>
          </w:p>
        </w:tc>
        <w:tc>
          <w:tcPr>
            <w:tcW w:w="3800" w:type="dxa"/>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创新创业实践教学</w:t>
            </w:r>
          </w:p>
        </w:tc>
        <w:tc>
          <w:tcPr>
            <w:tcW w:w="784" w:type="dxa"/>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1</w:t>
            </w:r>
          </w:p>
        </w:tc>
        <w:tc>
          <w:tcPr>
            <w:tcW w:w="1083" w:type="dxa"/>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988" w:type="dxa"/>
            <w:vAlign w:val="center"/>
          </w:tcPr>
          <w:p>
            <w:pPr>
              <w:widowControl/>
              <w:jc w:val="center"/>
              <w:rPr>
                <w:rFonts w:ascii="宋体" w:hAnsi="宋体" w:eastAsia="宋体" w:cs="宋体"/>
                <w:color w:val="auto"/>
                <w:kern w:val="0"/>
                <w:sz w:val="18"/>
                <w:szCs w:val="18"/>
                <w:highlight w:val="none"/>
              </w:rPr>
            </w:pPr>
          </w:p>
        </w:tc>
        <w:tc>
          <w:tcPr>
            <w:tcW w:w="1695" w:type="dxa"/>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BG070002</w:t>
            </w:r>
          </w:p>
        </w:tc>
        <w:tc>
          <w:tcPr>
            <w:tcW w:w="3800" w:type="dxa"/>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普通话水平测试</w:t>
            </w:r>
          </w:p>
        </w:tc>
        <w:tc>
          <w:tcPr>
            <w:tcW w:w="784" w:type="dxa"/>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1</w:t>
            </w:r>
          </w:p>
        </w:tc>
        <w:tc>
          <w:tcPr>
            <w:tcW w:w="1083" w:type="dxa"/>
            <w:vAlign w:val="center"/>
          </w:tcPr>
          <w:p>
            <w:pPr>
              <w:widowControl/>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988" w:type="dxa"/>
            <w:vAlign w:val="center"/>
          </w:tcPr>
          <w:p>
            <w:pPr>
              <w:widowControl/>
              <w:jc w:val="center"/>
              <w:rPr>
                <w:rFonts w:ascii="宋体" w:hAnsi="宋体" w:eastAsia="宋体" w:cs="宋体"/>
                <w:color w:val="auto"/>
                <w:kern w:val="0"/>
                <w:sz w:val="18"/>
                <w:szCs w:val="18"/>
                <w:highlight w:val="none"/>
              </w:rPr>
            </w:pPr>
          </w:p>
        </w:tc>
        <w:tc>
          <w:tcPr>
            <w:tcW w:w="1695"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vAlign w:val="center"/>
          </w:tcPr>
          <w:p>
            <w:pPr>
              <w:widowControl/>
              <w:jc w:val="center"/>
              <w:textAlignment w:val="center"/>
              <w:rPr>
                <w:rFonts w:ascii="宋体" w:hAnsi="宋体" w:eastAsia="宋体" w:cs="宋体"/>
                <w:color w:val="auto"/>
                <w:sz w:val="18"/>
                <w:szCs w:val="18"/>
                <w:highlight w:val="none"/>
              </w:rPr>
            </w:pPr>
            <w:r>
              <w:rPr>
                <w:rFonts w:ascii="宋体" w:hAnsi="宋体" w:cs="宋体"/>
                <w:color w:val="auto"/>
                <w:sz w:val="18"/>
                <w:szCs w:val="18"/>
                <w:highlight w:val="none"/>
              </w:rPr>
              <w:t>BG</w:t>
            </w:r>
            <w:r>
              <w:rPr>
                <w:rFonts w:hint="eastAsia" w:ascii="宋体" w:hAnsi="宋体" w:cs="宋体"/>
                <w:color w:val="auto"/>
                <w:sz w:val="18"/>
                <w:szCs w:val="18"/>
                <w:highlight w:val="none"/>
              </w:rPr>
              <w:t>170001</w:t>
            </w:r>
          </w:p>
        </w:tc>
        <w:tc>
          <w:tcPr>
            <w:tcW w:w="3800" w:type="dxa"/>
            <w:vAlign w:val="center"/>
          </w:tcPr>
          <w:p>
            <w:pPr>
              <w:widowControl/>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毕业教育</w:t>
            </w:r>
          </w:p>
        </w:tc>
        <w:tc>
          <w:tcPr>
            <w:tcW w:w="784" w:type="dxa"/>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0.5</w:t>
            </w:r>
          </w:p>
        </w:tc>
        <w:tc>
          <w:tcPr>
            <w:tcW w:w="1083" w:type="dxa"/>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988" w:type="dxa"/>
            <w:vAlign w:val="center"/>
          </w:tcPr>
          <w:p>
            <w:pPr>
              <w:widowControl/>
              <w:jc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8</w:t>
            </w:r>
          </w:p>
        </w:tc>
        <w:tc>
          <w:tcPr>
            <w:tcW w:w="1695"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32" w:type="dxa"/>
            <w:vAlign w:val="center"/>
          </w:tcPr>
          <w:p>
            <w:pPr>
              <w:adjustRightInd w:val="0"/>
              <w:snapToGrid w:val="0"/>
              <w:jc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合计</w:t>
            </w:r>
          </w:p>
        </w:tc>
        <w:tc>
          <w:tcPr>
            <w:tcW w:w="3800" w:type="dxa"/>
            <w:vAlign w:val="center"/>
          </w:tcPr>
          <w:p>
            <w:pPr>
              <w:widowControl/>
              <w:adjustRightInd w:val="0"/>
              <w:snapToGrid w:val="0"/>
              <w:jc w:val="center"/>
              <w:rPr>
                <w:rFonts w:ascii="宋体" w:hAnsi="宋体" w:eastAsia="宋体" w:cs="宋体"/>
                <w:color w:val="auto"/>
                <w:kern w:val="0"/>
                <w:sz w:val="18"/>
                <w:szCs w:val="18"/>
                <w:highlight w:val="none"/>
              </w:rPr>
            </w:pPr>
          </w:p>
        </w:tc>
        <w:tc>
          <w:tcPr>
            <w:tcW w:w="784" w:type="dxa"/>
            <w:vAlign w:val="center"/>
          </w:tcPr>
          <w:p>
            <w:pPr>
              <w:widowControl/>
              <w:adjustRightInd w:val="0"/>
              <w:snapToGrid w:val="0"/>
              <w:jc w:val="center"/>
              <w:rPr>
                <w:rFonts w:ascii="宋体" w:hAnsi="宋体" w:eastAsia="宋体" w:cs="宋体"/>
                <w:color w:val="auto"/>
                <w:kern w:val="0"/>
                <w:sz w:val="18"/>
                <w:szCs w:val="18"/>
                <w:highlight w:val="none"/>
              </w:rPr>
            </w:pPr>
            <w:r>
              <w:rPr>
                <w:rFonts w:ascii="宋体" w:hAnsi="宋体"/>
                <w:color w:val="auto"/>
                <w:sz w:val="18"/>
                <w:szCs w:val="18"/>
                <w:highlight w:val="none"/>
              </w:rPr>
              <w:fldChar w:fldCharType="begin"/>
            </w:r>
            <w:r>
              <w:rPr>
                <w:rFonts w:ascii="宋体" w:hAnsi="宋体"/>
                <w:color w:val="auto"/>
                <w:sz w:val="18"/>
                <w:szCs w:val="18"/>
                <w:highlight w:val="none"/>
              </w:rPr>
              <w:instrText xml:space="preserve"> =SUM(ABOVE) </w:instrText>
            </w:r>
            <w:r>
              <w:rPr>
                <w:rFonts w:ascii="宋体" w:hAnsi="宋体"/>
                <w:color w:val="auto"/>
                <w:sz w:val="18"/>
                <w:szCs w:val="18"/>
                <w:highlight w:val="none"/>
              </w:rPr>
              <w:fldChar w:fldCharType="separate"/>
            </w:r>
            <w:r>
              <w:rPr>
                <w:rFonts w:ascii="宋体" w:hAnsi="宋体"/>
                <w:color w:val="auto"/>
                <w:sz w:val="18"/>
                <w:szCs w:val="18"/>
                <w:highlight w:val="none"/>
              </w:rPr>
              <w:t>10.5</w:t>
            </w:r>
            <w:r>
              <w:rPr>
                <w:rFonts w:ascii="宋体" w:hAnsi="宋体"/>
                <w:color w:val="auto"/>
                <w:sz w:val="18"/>
                <w:szCs w:val="18"/>
                <w:highlight w:val="none"/>
              </w:rPr>
              <w:fldChar w:fldCharType="end"/>
            </w:r>
          </w:p>
        </w:tc>
        <w:tc>
          <w:tcPr>
            <w:tcW w:w="1083" w:type="dxa"/>
            <w:vAlign w:val="center"/>
          </w:tcPr>
          <w:p>
            <w:pPr>
              <w:widowControl/>
              <w:adjustRightInd w:val="0"/>
              <w:snapToGrid w:val="0"/>
              <w:jc w:val="center"/>
              <w:rPr>
                <w:rFonts w:ascii="宋体" w:hAnsi="宋体" w:eastAsia="宋体" w:cs="宋体"/>
                <w:color w:val="auto"/>
                <w:kern w:val="0"/>
                <w:sz w:val="18"/>
                <w:szCs w:val="18"/>
                <w:highlight w:val="none"/>
              </w:rPr>
            </w:pPr>
          </w:p>
        </w:tc>
        <w:tc>
          <w:tcPr>
            <w:tcW w:w="988" w:type="dxa"/>
            <w:vAlign w:val="center"/>
          </w:tcPr>
          <w:p>
            <w:pPr>
              <w:widowControl/>
              <w:adjustRightInd w:val="0"/>
              <w:snapToGrid w:val="0"/>
              <w:jc w:val="center"/>
              <w:rPr>
                <w:rFonts w:ascii="宋体" w:hAnsi="宋体" w:eastAsia="宋体" w:cs="宋体"/>
                <w:color w:val="auto"/>
                <w:kern w:val="0"/>
                <w:sz w:val="18"/>
                <w:szCs w:val="18"/>
                <w:highlight w:val="none"/>
              </w:rPr>
            </w:pPr>
          </w:p>
        </w:tc>
        <w:tc>
          <w:tcPr>
            <w:tcW w:w="1695" w:type="dxa"/>
            <w:vAlign w:val="center"/>
          </w:tcPr>
          <w:p>
            <w:pPr>
              <w:widowControl/>
              <w:adjustRightInd w:val="0"/>
              <w:snapToGrid w:val="0"/>
              <w:jc w:val="center"/>
              <w:rPr>
                <w:rFonts w:ascii="宋体" w:hAnsi="宋体" w:eastAsia="宋体" w:cs="宋体"/>
                <w:color w:val="auto"/>
                <w:kern w:val="0"/>
                <w:sz w:val="18"/>
                <w:szCs w:val="18"/>
                <w:highlight w:val="none"/>
              </w:rPr>
            </w:pPr>
          </w:p>
        </w:tc>
      </w:tr>
    </w:tbl>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表10 专业实践课程                                          </w:t>
      </w:r>
      <w:r>
        <w:rPr>
          <w:rFonts w:hint="eastAsia" w:asciiTheme="minorEastAsia" w:hAnsiTheme="minorEastAsia" w:cstheme="minorEastAsia"/>
          <w:color w:val="auto"/>
          <w:szCs w:val="21"/>
          <w:highlight w:val="none"/>
          <w:lang w:val="en-US" w:eastAsia="zh-CN"/>
        </w:rPr>
        <w:t xml:space="preserve">   </w:t>
      </w:r>
      <w:r>
        <w:rPr>
          <w:rFonts w:hint="eastAsia" w:asciiTheme="minorEastAsia" w:hAnsiTheme="minorEastAsia" w:cstheme="minorEastAsia"/>
          <w:color w:val="auto"/>
          <w:szCs w:val="21"/>
          <w:highlight w:val="none"/>
        </w:rPr>
        <w:t xml:space="preserve">  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4146"/>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152"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414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课程名称</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学分</w:t>
            </w:r>
          </w:p>
        </w:tc>
        <w:tc>
          <w:tcPr>
            <w:tcW w:w="1067"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学时（周）</w:t>
            </w: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开设学期</w:t>
            </w:r>
          </w:p>
        </w:tc>
        <w:tc>
          <w:tcPr>
            <w:tcW w:w="1089"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11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BH050008</w:t>
            </w:r>
          </w:p>
        </w:tc>
        <w:tc>
          <w:tcPr>
            <w:tcW w:w="4146"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会计手工模拟教学实习</w:t>
            </w:r>
          </w:p>
        </w:tc>
        <w:tc>
          <w:tcPr>
            <w:tcW w:w="784"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89"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1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BH050010</w:t>
            </w:r>
          </w:p>
        </w:tc>
        <w:tc>
          <w:tcPr>
            <w:tcW w:w="4146"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经济学教学实习</w:t>
            </w:r>
          </w:p>
        </w:tc>
        <w:tc>
          <w:tcPr>
            <w:tcW w:w="784"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89"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1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BH050007</w:t>
            </w:r>
          </w:p>
        </w:tc>
        <w:tc>
          <w:tcPr>
            <w:tcW w:w="4146"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会计计算机模拟实习</w:t>
            </w:r>
          </w:p>
        </w:tc>
        <w:tc>
          <w:tcPr>
            <w:tcW w:w="784"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89"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152" w:type="dxa"/>
            <w:tcBorders>
              <w:tl2br w:val="nil"/>
              <w:tr2bl w:val="nil"/>
            </w:tcBorders>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BH050002</w:t>
            </w:r>
          </w:p>
        </w:tc>
        <w:tc>
          <w:tcPr>
            <w:tcW w:w="4146"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财务管理教学实习</w:t>
            </w:r>
          </w:p>
        </w:tc>
        <w:tc>
          <w:tcPr>
            <w:tcW w:w="784"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89"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15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BH050055</w:t>
            </w:r>
          </w:p>
        </w:tc>
        <w:tc>
          <w:tcPr>
            <w:tcW w:w="4146"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成本会计教学实习</w:t>
            </w:r>
          </w:p>
        </w:tc>
        <w:tc>
          <w:tcPr>
            <w:tcW w:w="784"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89"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1152"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BH050001</w:t>
            </w:r>
          </w:p>
        </w:tc>
        <w:tc>
          <w:tcPr>
            <w:tcW w:w="4146"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ERP模拟实习</w:t>
            </w:r>
          </w:p>
        </w:tc>
        <w:tc>
          <w:tcPr>
            <w:tcW w:w="78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2周</w:t>
            </w:r>
          </w:p>
        </w:tc>
        <w:tc>
          <w:tcPr>
            <w:tcW w:w="111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8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152"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BH050009</w:t>
            </w:r>
          </w:p>
        </w:tc>
        <w:tc>
          <w:tcPr>
            <w:tcW w:w="4146"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计算机财务管理教学实习</w:t>
            </w:r>
          </w:p>
        </w:tc>
        <w:tc>
          <w:tcPr>
            <w:tcW w:w="78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8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exact"/>
          <w:jc w:val="center"/>
        </w:trPr>
        <w:tc>
          <w:tcPr>
            <w:tcW w:w="1152"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BH050064</w:t>
            </w:r>
          </w:p>
        </w:tc>
        <w:tc>
          <w:tcPr>
            <w:tcW w:w="4146"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管理会计教学实习</w:t>
            </w:r>
          </w:p>
        </w:tc>
        <w:tc>
          <w:tcPr>
            <w:tcW w:w="78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89"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152"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BH050054</w:t>
            </w:r>
          </w:p>
        </w:tc>
        <w:tc>
          <w:tcPr>
            <w:tcW w:w="4146" w:type="dxa"/>
            <w:vAlign w:val="center"/>
          </w:tcPr>
          <w:p>
            <w:pPr>
              <w:keepNext w:val="0"/>
              <w:keepLines w:val="0"/>
              <w:widowControl/>
              <w:suppressLineNumbers w:val="0"/>
              <w:jc w:val="left"/>
              <w:textAlignment w:val="center"/>
              <w:rPr>
                <w:rFonts w:hint="default" w:ascii="宋体" w:hAnsi="宋体" w:eastAsia="宋体" w:cs="宋体"/>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财务数据可视化实训</w:t>
            </w:r>
          </w:p>
        </w:tc>
        <w:tc>
          <w:tcPr>
            <w:tcW w:w="78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89" w:type="dxa"/>
            <w:vAlign w:val="center"/>
          </w:tcPr>
          <w:p>
            <w:pPr>
              <w:jc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152"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BH050003</w:t>
            </w:r>
          </w:p>
        </w:tc>
        <w:tc>
          <w:tcPr>
            <w:tcW w:w="4146"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电算会计教学实习</w:t>
            </w:r>
          </w:p>
        </w:tc>
        <w:tc>
          <w:tcPr>
            <w:tcW w:w="784"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152"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BH050016</w:t>
            </w:r>
          </w:p>
        </w:tc>
        <w:tc>
          <w:tcPr>
            <w:tcW w:w="4146"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审计教学实习</w:t>
            </w:r>
          </w:p>
        </w:tc>
        <w:tc>
          <w:tcPr>
            <w:tcW w:w="784"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152"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BH050012</w:t>
            </w:r>
          </w:p>
        </w:tc>
        <w:tc>
          <w:tcPr>
            <w:tcW w:w="4146"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企业运营仿真综合实训</w:t>
            </w:r>
          </w:p>
        </w:tc>
        <w:tc>
          <w:tcPr>
            <w:tcW w:w="784"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7"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2周</w:t>
            </w:r>
          </w:p>
        </w:tc>
        <w:tc>
          <w:tcPr>
            <w:tcW w:w="111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152"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BH050072</w:t>
            </w:r>
          </w:p>
        </w:tc>
        <w:tc>
          <w:tcPr>
            <w:tcW w:w="4146"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税务会计教学实习</w:t>
            </w:r>
          </w:p>
        </w:tc>
        <w:tc>
          <w:tcPr>
            <w:tcW w:w="784"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67"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11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89"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52"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4146" w:type="dxa"/>
            <w:vAlign w:val="center"/>
          </w:tcPr>
          <w:p>
            <w:pPr>
              <w:jc w:val="left"/>
              <w:rPr>
                <w:rFonts w:ascii="宋体" w:hAnsi="宋体" w:eastAsia="宋体" w:cs="宋体"/>
                <w:color w:val="auto"/>
                <w:kern w:val="0"/>
                <w:sz w:val="18"/>
                <w:szCs w:val="18"/>
                <w:highlight w:val="none"/>
              </w:rPr>
            </w:pPr>
          </w:p>
        </w:tc>
        <w:tc>
          <w:tcPr>
            <w:tcW w:w="784" w:type="dxa"/>
            <w:vAlign w:val="center"/>
          </w:tcPr>
          <w:p>
            <w:pPr>
              <w:keepNext w:val="0"/>
              <w:keepLines w:val="0"/>
              <w:widowControl/>
              <w:suppressLineNumbers w:val="0"/>
              <w:jc w:val="center"/>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1067" w:type="dxa"/>
            <w:vAlign w:val="center"/>
          </w:tcPr>
          <w:p>
            <w:pPr>
              <w:jc w:val="center"/>
              <w:rPr>
                <w:color w:val="auto"/>
                <w:kern w:val="0"/>
                <w:sz w:val="18"/>
                <w:szCs w:val="18"/>
                <w:highlight w:val="none"/>
              </w:rPr>
            </w:pPr>
          </w:p>
        </w:tc>
        <w:tc>
          <w:tcPr>
            <w:tcW w:w="1116" w:type="dxa"/>
            <w:vAlign w:val="center"/>
          </w:tcPr>
          <w:p>
            <w:pPr>
              <w:jc w:val="center"/>
              <w:rPr>
                <w:color w:val="auto"/>
                <w:kern w:val="0"/>
                <w:sz w:val="18"/>
                <w:szCs w:val="18"/>
                <w:highlight w:val="none"/>
              </w:rPr>
            </w:pPr>
          </w:p>
        </w:tc>
        <w:tc>
          <w:tcPr>
            <w:tcW w:w="1089" w:type="dxa"/>
            <w:vAlign w:val="center"/>
          </w:tcPr>
          <w:p>
            <w:pPr>
              <w:rPr>
                <w:rFonts w:ascii="宋体" w:hAnsi="宋体" w:eastAsia="宋体" w:cs="宋体"/>
                <w:color w:val="auto"/>
                <w:sz w:val="18"/>
                <w:szCs w:val="18"/>
                <w:highlight w:val="none"/>
              </w:rPr>
            </w:pPr>
          </w:p>
        </w:tc>
      </w:tr>
    </w:tbl>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表11 综合实践课程                                            </w:t>
      </w:r>
      <w:r>
        <w:rPr>
          <w:rFonts w:hint="eastAsia" w:asciiTheme="minorEastAsia" w:hAnsiTheme="minorEastAsia" w:cstheme="minorEastAsia"/>
          <w:color w:val="auto"/>
          <w:szCs w:val="21"/>
          <w:highlight w:val="none"/>
          <w:lang w:val="en-US" w:eastAsia="zh-CN"/>
        </w:rPr>
        <w:t xml:space="preserve">    </w:t>
      </w:r>
      <w:r>
        <w:rPr>
          <w:rFonts w:hint="eastAsia" w:asciiTheme="minorEastAsia" w:hAnsiTheme="minorEastAsia" w:cstheme="minorEastAsia"/>
          <w:color w:val="auto"/>
          <w:szCs w:val="21"/>
          <w:highlight w:val="none"/>
        </w:rPr>
        <w:t>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715"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358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课程名称</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学分</w:t>
            </w:r>
          </w:p>
        </w:tc>
        <w:tc>
          <w:tcPr>
            <w:tcW w:w="1067"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学时（周）</w:t>
            </w: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开设学期</w:t>
            </w:r>
          </w:p>
        </w:tc>
        <w:tc>
          <w:tcPr>
            <w:tcW w:w="1089"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715"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BI050001</w:t>
            </w:r>
          </w:p>
        </w:tc>
        <w:tc>
          <w:tcPr>
            <w:tcW w:w="3583" w:type="dxa"/>
            <w:tcBorders>
              <w:tl2br w:val="nil"/>
              <w:tr2bl w:val="nil"/>
            </w:tcBorders>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毕业实习及报告</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13.5</w:t>
            </w:r>
          </w:p>
        </w:tc>
        <w:tc>
          <w:tcPr>
            <w:tcW w:w="1067" w:type="dxa"/>
            <w:vMerge w:val="restart"/>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37.5周</w:t>
            </w: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1089" w:type="dxa"/>
            <w:vMerge w:val="restart"/>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715"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BI050004</w:t>
            </w:r>
          </w:p>
        </w:tc>
        <w:tc>
          <w:tcPr>
            <w:tcW w:w="3583" w:type="dxa"/>
            <w:tcBorders>
              <w:tl2br w:val="nil"/>
              <w:tr2bl w:val="nil"/>
            </w:tcBorders>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毕业论文（设计）</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1067" w:type="dxa"/>
            <w:vMerge w:val="continue"/>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1089" w:type="dxa"/>
            <w:vMerge w:val="continue"/>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715"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3583"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18.5</w:t>
            </w:r>
          </w:p>
        </w:tc>
        <w:tc>
          <w:tcPr>
            <w:tcW w:w="1067"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89"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bl>
    <w:p>
      <w:pPr>
        <w:spacing w:line="440" w:lineRule="exact"/>
        <w:ind w:left="420" w:leftChars="200"/>
        <w:rPr>
          <w:rFonts w:asciiTheme="minorEastAsia" w:hAnsiTheme="minorEastAsia" w:cstheme="minorEastAsia"/>
          <w:b/>
          <w:bCs/>
          <w:color w:val="auto"/>
          <w:sz w:val="28"/>
          <w:szCs w:val="28"/>
          <w:highlight w:val="none"/>
        </w:rPr>
      </w:pPr>
    </w:p>
    <w:p>
      <w:pPr>
        <w:spacing w:line="440" w:lineRule="exact"/>
        <w:ind w:left="420" w:left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十二、各学期学时分配表</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851"/>
        <w:gridCol w:w="820"/>
        <w:gridCol w:w="852"/>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学期</w:t>
            </w:r>
          </w:p>
        </w:tc>
        <w:tc>
          <w:tcPr>
            <w:tcW w:w="85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82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85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90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82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90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通识教育必修课程</w:t>
            </w:r>
          </w:p>
        </w:tc>
        <w:tc>
          <w:tcPr>
            <w:tcW w:w="851"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216</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188</w:t>
            </w:r>
          </w:p>
        </w:tc>
        <w:tc>
          <w:tcPr>
            <w:tcW w:w="8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172</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76</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学科基础课程</w:t>
            </w:r>
          </w:p>
        </w:tc>
        <w:tc>
          <w:tcPr>
            <w:tcW w:w="851"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112</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224</w:t>
            </w:r>
          </w:p>
        </w:tc>
        <w:tc>
          <w:tcPr>
            <w:tcW w:w="8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208</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144</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专业核心课程</w:t>
            </w:r>
          </w:p>
        </w:tc>
        <w:tc>
          <w:tcPr>
            <w:tcW w:w="851"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52"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88</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192</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104</w:t>
            </w: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专业方向课程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（每学期最低选修学时）</w:t>
            </w:r>
          </w:p>
        </w:tc>
        <w:tc>
          <w:tcPr>
            <w:tcW w:w="851"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52"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专业拓展课程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（每学期最低选修学时）</w:t>
            </w:r>
          </w:p>
        </w:tc>
        <w:tc>
          <w:tcPr>
            <w:tcW w:w="851"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52"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851"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328</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412</w:t>
            </w:r>
          </w:p>
        </w:tc>
        <w:tc>
          <w:tcPr>
            <w:tcW w:w="8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380</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340</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324</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236</w:t>
            </w: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基础实践（周）</w:t>
            </w:r>
          </w:p>
        </w:tc>
        <w:tc>
          <w:tcPr>
            <w:tcW w:w="851"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52"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专业实践（周）</w:t>
            </w:r>
          </w:p>
        </w:tc>
        <w:tc>
          <w:tcPr>
            <w:tcW w:w="851"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c>
          <w:tcPr>
            <w:tcW w:w="85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c>
          <w:tcPr>
            <w:tcW w:w="90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w:t>
            </w:r>
          </w:p>
        </w:tc>
        <w:tc>
          <w:tcPr>
            <w:tcW w:w="8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c>
          <w:tcPr>
            <w:tcW w:w="90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w:t>
            </w: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综合实践（周）</w:t>
            </w:r>
          </w:p>
        </w:tc>
        <w:tc>
          <w:tcPr>
            <w:tcW w:w="851"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52"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820"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0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898" w:type="dxa"/>
            <w:gridSpan w:val="2"/>
            <w:tcBorders>
              <w:tl2br w:val="nil"/>
              <w:tr2bl w:val="nil"/>
            </w:tcBorders>
            <w:shd w:val="clear" w:color="auto" w:fill="auto"/>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周学时</w:t>
            </w:r>
          </w:p>
        </w:tc>
        <w:tc>
          <w:tcPr>
            <w:tcW w:w="851"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19.3</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21.7 </w:t>
            </w:r>
          </w:p>
        </w:tc>
        <w:tc>
          <w:tcPr>
            <w:tcW w:w="8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21.1 </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21.3 </w:t>
            </w:r>
          </w:p>
        </w:tc>
        <w:tc>
          <w:tcPr>
            <w:tcW w:w="82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19.1 </w:t>
            </w:r>
          </w:p>
        </w:tc>
        <w:tc>
          <w:tcPr>
            <w:tcW w:w="90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15.7 </w:t>
            </w:r>
          </w:p>
        </w:tc>
        <w:tc>
          <w:tcPr>
            <w:tcW w:w="966" w:type="dxa"/>
            <w:tcBorders>
              <w:tl2br w:val="nil"/>
              <w:tr2bl w:val="nil"/>
            </w:tcBorders>
            <w:shd w:val="clear" w:color="auto" w:fill="auto"/>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shd w:val="clear" w:color="auto" w:fill="auto"/>
            <w:vAlign w:val="center"/>
          </w:tcPr>
          <w:p>
            <w:pPr>
              <w:rPr>
                <w:rFonts w:ascii="宋体" w:hAnsi="宋体" w:eastAsia="宋体" w:cs="宋体"/>
                <w:color w:val="auto"/>
                <w:kern w:val="0"/>
                <w:sz w:val="18"/>
                <w:szCs w:val="18"/>
                <w:highlight w:val="none"/>
              </w:rPr>
            </w:pPr>
          </w:p>
        </w:tc>
      </w:tr>
    </w:tbl>
    <w:p>
      <w:pPr>
        <w:spacing w:line="440" w:lineRule="exact"/>
        <w:ind w:left="420" w:leftChars="200"/>
        <w:jc w:val="left"/>
        <w:rPr>
          <w:rFonts w:ascii="宋体" w:hAnsi="宋体" w:eastAsia="宋体" w:cs="宋体"/>
          <w:color w:val="auto"/>
          <w:szCs w:val="21"/>
          <w:highlight w:val="none"/>
        </w:rPr>
      </w:pP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十三、课程简介</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1.高等数学JI（课程代码:BC060006）</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总学时：64学时（理论学时64，实验学时0）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总学分：4 学分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旨在使学生掌握高等数学的基本方法及思维，掌握函数、极限与连续知识。包括集合、映射与函数、复合函数与初等函数、经济数学中的常用函数、数列的极限、函数的极限、函数的连续性等知识；掌握导数、微分、边际与弹性；了解中值定理及导数的应用、不定积分及其应用、向量代数与空间解析几何。形成</w:t>
      </w:r>
      <w:r>
        <w:rPr>
          <w:rFonts w:hint="eastAsia" w:ascii="宋体" w:hAnsi="宋体"/>
          <w:color w:val="auto"/>
          <w:sz w:val="24"/>
          <w:highlight w:val="none"/>
        </w:rPr>
        <w:t>数学建模</w:t>
      </w:r>
      <w:r>
        <w:rPr>
          <w:rFonts w:hint="eastAsia" w:ascii="宋体" w:hAnsi="宋体" w:cs="宋体"/>
          <w:color w:val="auto"/>
          <w:kern w:val="0"/>
          <w:sz w:val="24"/>
          <w:highlight w:val="none"/>
        </w:rPr>
        <w:t>基本思想，</w:t>
      </w:r>
      <w:r>
        <w:rPr>
          <w:rFonts w:hint="eastAsia" w:ascii="宋体" w:hAnsi="宋体" w:eastAsia="宋体" w:cs="宋体"/>
          <w:color w:val="auto"/>
          <w:kern w:val="0"/>
          <w:sz w:val="24"/>
          <w:highlight w:val="none"/>
        </w:rPr>
        <w:t>逐渐培养学生自己提出新问题、思考分析问题的能力，培养创新思维能力和数学建模的能力，</w:t>
      </w:r>
      <w:r>
        <w:rPr>
          <w:rFonts w:hint="eastAsia" w:ascii="宋体" w:hAnsi="宋体" w:cs="宋体"/>
          <w:color w:val="auto"/>
          <w:kern w:val="0"/>
          <w:sz w:val="24"/>
          <w:highlight w:val="none"/>
        </w:rPr>
        <w:t>为学习后续专业课程奠定基础。</w:t>
      </w:r>
    </w:p>
    <w:p>
      <w:pPr>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前承课程：高中数学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后续课程：微观经济学、宏观经济学等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2.高等数学JII（课程代码:BC060007）</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 学分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旨在使学生掌握高等数学的基本方法及思维，掌握多元函数微分学、二重积分知识。包括多元函数的基本概念、偏导数及其在经济分析中的应用、高阶偏导数、全微分及其应用、多元复合函数的求导法则、多元函数的极值及其应用、二重积分的概念与性质、二重积分的计算等知识；掌握微分方程的基本概念、一阶微分方程在经济学中的综合应用；了解二阶常系数线性微分方程、差分与差分方程的概念、常数项级数的概念和性质、泰勒级数与幂级数。</w:t>
      </w:r>
      <w:r>
        <w:rPr>
          <w:rFonts w:hint="eastAsia" w:ascii="宋体" w:hAnsi="宋体" w:eastAsia="宋体" w:cs="宋体"/>
          <w:color w:val="auto"/>
          <w:kern w:val="0"/>
          <w:sz w:val="24"/>
          <w:highlight w:val="none"/>
        </w:rPr>
        <w:t>逐渐培养学生自己提出新问题、思考分析问题的能力，</w:t>
      </w:r>
      <w:r>
        <w:rPr>
          <w:rFonts w:hint="eastAsia" w:ascii="宋体" w:hAnsi="宋体" w:cs="宋体"/>
          <w:color w:val="auto"/>
          <w:kern w:val="0"/>
          <w:sz w:val="24"/>
          <w:highlight w:val="none"/>
        </w:rPr>
        <w:t>形成</w:t>
      </w:r>
      <w:r>
        <w:rPr>
          <w:rFonts w:hint="eastAsia" w:ascii="宋体" w:hAnsi="宋体"/>
          <w:color w:val="auto"/>
          <w:sz w:val="24"/>
          <w:highlight w:val="none"/>
        </w:rPr>
        <w:t>数学建模</w:t>
      </w:r>
      <w:r>
        <w:rPr>
          <w:rFonts w:hint="eastAsia" w:ascii="宋体" w:hAnsi="宋体" w:cs="宋体"/>
          <w:color w:val="auto"/>
          <w:kern w:val="0"/>
          <w:sz w:val="24"/>
          <w:highlight w:val="none"/>
        </w:rPr>
        <w:t>基本思想，</w:t>
      </w:r>
      <w:r>
        <w:rPr>
          <w:rFonts w:hint="eastAsia" w:ascii="宋体" w:hAnsi="宋体" w:eastAsia="宋体" w:cs="宋体"/>
          <w:color w:val="auto"/>
          <w:kern w:val="0"/>
          <w:sz w:val="24"/>
          <w:highlight w:val="none"/>
        </w:rPr>
        <w:t>培养创新思维能力和数学建模的能力，</w:t>
      </w:r>
      <w:r>
        <w:rPr>
          <w:rFonts w:hint="eastAsia" w:ascii="宋体" w:hAnsi="宋体" w:cs="宋体"/>
          <w:color w:val="auto"/>
          <w:kern w:val="0"/>
          <w:sz w:val="24"/>
          <w:highlight w:val="none"/>
        </w:rPr>
        <w:t>为学习后续专业课程奠定基础。</w:t>
      </w:r>
    </w:p>
    <w:p>
      <w:pPr>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前承课程：高中数学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后续课程：微观经济学、宏观经济学等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3.线性代数与线性规划（课程代码:BC060008）</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概述：本课程是一门学科基础课程，第一篇为线性代数，主要介绍线性方程组的消元法</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rPr>
        <w:t>矩阵的初等变换</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rPr>
        <w:t>排列、行列式的定义和性质、行列式的展开和计算，了解逆矩阵、分块矩阵</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rPr>
        <w:t>初等矩阵</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rPr>
        <w:t>矩阵的秩等知识点，掌握线性方程组有解的条件、n维向量及其线性计算、向量组的线性相关性、线性方程组解的结构，掌握特征值和特征向量的概念与计算、相似矩阵、二次型及其矩阵表示、化二次型为标准形。第二篇为线性变换，主要介绍</w:t>
      </w:r>
      <w:r>
        <w:rPr>
          <w:rFonts w:hint="eastAsia" w:ascii="宋体" w:hAnsi="宋体"/>
          <w:color w:val="auto"/>
          <w:sz w:val="24"/>
          <w:highlight w:val="none"/>
        </w:rPr>
        <w:t>线性规划问题的数学模型、线性规划问题解的性质、单纯形方法、对偶线性规划问题、参数线性规划问题与灵敏度分析、运输问题的特殊解法</w:t>
      </w:r>
      <w:r>
        <w:rPr>
          <w:rFonts w:hint="eastAsia" w:ascii="宋体" w:hAnsi="宋体" w:cs="宋体"/>
          <w:color w:val="auto"/>
          <w:kern w:val="0"/>
          <w:sz w:val="24"/>
          <w:highlight w:val="none"/>
        </w:rPr>
        <w:t>。</w:t>
      </w:r>
      <w:r>
        <w:rPr>
          <w:rFonts w:hint="eastAsia" w:ascii="宋体" w:hAnsi="宋体"/>
          <w:color w:val="auto"/>
          <w:sz w:val="24"/>
          <w:highlight w:val="none"/>
        </w:rPr>
        <w:t>围绕上述理论培养学生的基本运算能力、抽象思维能力、逻辑推理能力以及解决实际问题的能力，</w:t>
      </w:r>
      <w:r>
        <w:rPr>
          <w:rFonts w:hint="eastAsia" w:ascii="宋体" w:hAnsi="宋体" w:cs="宋体"/>
          <w:color w:val="auto"/>
          <w:kern w:val="0"/>
          <w:sz w:val="24"/>
          <w:highlight w:val="none"/>
        </w:rPr>
        <w:t>为学习后续课程奠定基础。</w:t>
      </w:r>
    </w:p>
    <w:p>
      <w:pPr>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前承课程：高等数学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后续课程：管理学、微观经济学、宏观经济学等</w:t>
      </w:r>
    </w:p>
    <w:p>
      <w:pPr>
        <w:spacing w:line="460" w:lineRule="exact"/>
        <w:ind w:firstLine="482" w:firstLineChars="200"/>
        <w:rPr>
          <w:rFonts w:ascii="宋体" w:hAnsi="宋体" w:cs="宋体"/>
          <w:b/>
          <w:color w:val="auto"/>
          <w:kern w:val="0"/>
          <w:sz w:val="24"/>
          <w:highlight w:val="none"/>
        </w:rPr>
      </w:pPr>
      <w:r>
        <w:rPr>
          <w:rFonts w:hint="eastAsia" w:ascii="宋体" w:hAnsi="宋体"/>
          <w:b/>
          <w:bCs/>
          <w:color w:val="auto"/>
          <w:sz w:val="24"/>
          <w:highlight w:val="none"/>
        </w:rPr>
        <w:t>4.EXCEL高级应用</w:t>
      </w:r>
      <w:r>
        <w:rPr>
          <w:rFonts w:hint="eastAsia" w:ascii="宋体" w:hAnsi="宋体" w:cs="宋体"/>
          <w:b/>
          <w:color w:val="auto"/>
          <w:kern w:val="0"/>
          <w:sz w:val="24"/>
          <w:highlight w:val="none"/>
        </w:rPr>
        <w:t>（课程代码: BC170002）</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总学时：32学时（理论学时0，实验学时32）</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EXCEL高级应用》是财务管理专业的学科基础课，实践性较强。本课程的内容主要包括：电子表格基本知识、EXCEL基本操作、数据分析与管理、函数和公式的使用、数据透视表、EXCEL中数据图表的使用、规划求解与数据分析工具使用、宏和VBA等高级应用技术。通过本课程的学习，要求学生在全面掌握电子表格基础应用技能的基础上，掌握信息获取和信息处理的具体操作，具备较熟练的信息系统操作技能和一定的信息系统开发与管理能力，处理企业管理实际工作中面临的各种数据处理和分析问题，为后续课程的学习奠定基础。</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前承课程：计算机基础</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后续课程：计算机财务管理、统计学等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5.管理学</w:t>
      </w:r>
      <w:r>
        <w:rPr>
          <w:rFonts w:hint="eastAsia" w:ascii="宋体" w:hAnsi="宋体" w:cs="宋体"/>
          <w:b/>
          <w:color w:val="auto"/>
          <w:kern w:val="0"/>
          <w:sz w:val="24"/>
          <w:highlight w:val="none"/>
          <w:lang w:val="en-US" w:eastAsia="zh-CN"/>
        </w:rPr>
        <w:t>原理</w:t>
      </w:r>
      <w:r>
        <w:rPr>
          <w:rFonts w:hint="eastAsia" w:ascii="宋体" w:hAnsi="宋体" w:cs="宋体"/>
          <w:b/>
          <w:color w:val="auto"/>
          <w:kern w:val="0"/>
          <w:sz w:val="24"/>
          <w:highlight w:val="none"/>
        </w:rPr>
        <w:t>（课程代码:BC0500</w:t>
      </w:r>
      <w:r>
        <w:rPr>
          <w:rFonts w:hint="eastAsia" w:ascii="宋体" w:hAnsi="宋体" w:cs="宋体"/>
          <w:b/>
          <w:color w:val="auto"/>
          <w:kern w:val="0"/>
          <w:sz w:val="24"/>
          <w:highlight w:val="none"/>
          <w:lang w:val="en-US" w:eastAsia="zh-CN"/>
        </w:rPr>
        <w:t>3</w:t>
      </w:r>
      <w:r>
        <w:rPr>
          <w:rFonts w:hint="eastAsia" w:ascii="宋体" w:hAnsi="宋体" w:cs="宋体"/>
          <w:b/>
          <w:color w:val="auto"/>
          <w:kern w:val="0"/>
          <w:sz w:val="24"/>
          <w:highlight w:val="none"/>
        </w:rPr>
        <w:t>6）</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学分</w:t>
      </w:r>
    </w:p>
    <w:p>
      <w:pPr>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管理学》是财务管理专业的学科基础课，是各门管理类课程的基础。本课程主要讲述管理学概论（概念、原理、决策、组织文化等）、管理学的发展史及主流的理论和代表性观点、管理的四大基本职能（计划、组织、领导、控制）等内容，是理论性与实践性较强的专业基础课程，为后续其它专业课程的学习打下良好基础。通过本课程的教学，让学生系统学习和全面地掌握管理学的基础知识、基本原理、基本方法和一般规律，培养学生的四大关键能力，即计划与决策的能力、组织与人事的能力、领导与沟通的能力和控制与评价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前承课程：无</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后续课程：财务会计、财务管理等。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6.微观经济学（课程代码:BC0500</w:t>
      </w:r>
      <w:r>
        <w:rPr>
          <w:rFonts w:hint="eastAsia" w:ascii="宋体" w:hAnsi="宋体" w:cs="宋体"/>
          <w:b/>
          <w:color w:val="auto"/>
          <w:kern w:val="0"/>
          <w:sz w:val="24"/>
          <w:highlight w:val="none"/>
          <w:lang w:val="en-US" w:eastAsia="zh-CN"/>
        </w:rPr>
        <w:t>73</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学分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w:t>
      </w:r>
      <w:r>
        <w:rPr>
          <w:rFonts w:hint="eastAsia" w:ascii="宋体" w:hAnsi="宋体" w:eastAsia="宋体" w:cs="宋体"/>
          <w:color w:val="auto"/>
          <w:sz w:val="24"/>
          <w:highlight w:val="none"/>
        </w:rPr>
        <w:t>《微观经济学》是财务管理专业的学科基础课，它的基本理论原理、分析规范、分析逻辑、研究方法、表述方式乃至专业术语等都将构成后续课程的必不可少的基础，对该课程甚至整个专业的学习产生十分重要的影响。 微观经济学研究的是经济社会中经济个体（消费者、生产者和要素所有者）的经济行为及其相互影响和作用。微观经济学阐述经济社会中的经济个体根据什么和怎样做出经济决策。使学生了解微观经济学的研究对象和方法，了解微观经济学的理论体系、分析工具和发展简史，使学生比较全面系统地掌握需求和供给、效用和消费者行为、生产和成本、市场结构与厂商均衡、博弈与寡头市场、生产要素定价理论、一般均衡、市场失灵与政府的微观经济政策。在教学实践中，要求理论讲解与案例分析相结合，文字表述与数学证明相结合，知识讲授与课堂讨论相结合，为学生打下扎实的经济学理论功底。本课程教学目的是让学生学习科学的经济分析思想和分析方法，掌握基本经济学原理，培养学生进行经济实证分析和解决实际经济问题的能力，为后续专业课打下坚实基础。通过本课程的学习，要使学生基本掌握经济学的实证分析方法，提高学生应用经济学原理解决现实经济问题的能力。</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前承课程：高等数学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后续课程：财务会计、财务管理等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7.基础会计（课程代码:BC0500</w:t>
      </w:r>
      <w:r>
        <w:rPr>
          <w:rFonts w:hint="eastAsia" w:ascii="宋体" w:hAnsi="宋体" w:cs="宋体"/>
          <w:b/>
          <w:color w:val="auto"/>
          <w:kern w:val="0"/>
          <w:sz w:val="24"/>
          <w:highlight w:val="none"/>
          <w:lang w:val="en-US" w:eastAsia="zh-CN"/>
        </w:rPr>
        <w:t>67</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学时（理论学时48，实验学时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学分</w:t>
      </w:r>
    </w:p>
    <w:p>
      <w:pPr>
        <w:spacing w:line="46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基础会计》是财务管理专业的学科基础课，该课程具有理论性、实践性和技术性的特点。基础会计作为一门专业基础课，是学习《财务会计》《财务管理》《电算会计》《审计学》和《管理会计》课程的基础。本课程也是了解会计基本理论、基本方法的途径，有助于完善学生的专业知识结构，增强学生了解企业财务状况和经营成果的能力，扩大学生的知识面。《基础会计》该课程以会计七大核算方法为主线，在基本理论上以循序渐进的方式将有关会计要素、会计的前提条件和会计准则等贯穿在教学过程中加以阐述；在基本方法上强调常用会计处理方法的运用，如永续盘存制和实地盘存制，权责发生制和收付实现制等；在基本操作技术上介绍会计处理中涉及的主要操作环节，如会计凭证的编制与审核、对账与过账、结转与结账、试算平衡、会计报表的编制等。特别强调以会计的基本理论来指导基本方法和操作技术。</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前承课程：无</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后续课程：财务会计、成本会计等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8.宏观经济学（课程代码:BC050014）</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rFonts w:ascii="宋体" w:hAnsi="宋体" w:eastAsia="宋体" w:cs="宋体"/>
          <w:color w:val="auto"/>
          <w:sz w:val="24"/>
          <w:highlight w:val="none"/>
        </w:rPr>
      </w:pPr>
      <w:r>
        <w:rPr>
          <w:rFonts w:hint="eastAsia" w:ascii="宋体" w:hAnsi="宋体" w:cs="宋体"/>
          <w:color w:val="auto"/>
          <w:kern w:val="0"/>
          <w:sz w:val="24"/>
          <w:highlight w:val="none"/>
        </w:rPr>
        <w:t>概述：</w:t>
      </w:r>
      <w:r>
        <w:rPr>
          <w:rFonts w:hint="eastAsia" w:ascii="宋体" w:hAnsi="宋体" w:eastAsia="宋体" w:cs="宋体"/>
          <w:color w:val="auto"/>
          <w:sz w:val="24"/>
          <w:highlight w:val="none"/>
        </w:rPr>
        <w:t>《宏观经济学》是</w:t>
      </w:r>
      <w:r>
        <w:rPr>
          <w:rFonts w:hint="eastAsia" w:ascii="宋体" w:hAnsi="宋体" w:cs="宋体"/>
          <w:color w:val="auto"/>
          <w:sz w:val="24"/>
          <w:highlight w:val="none"/>
        </w:rPr>
        <w:t>财务管理专业的</w:t>
      </w:r>
      <w:r>
        <w:rPr>
          <w:rFonts w:hint="eastAsia" w:ascii="宋体" w:hAnsi="宋体" w:eastAsia="宋体" w:cs="宋体"/>
          <w:color w:val="auto"/>
          <w:sz w:val="24"/>
          <w:highlight w:val="none"/>
        </w:rPr>
        <w:t>学科基础课，与《微观经济学》共同构成现代经济学理论体系。宏观经济学以整个国民经济作为研究对象，研究经济总量的决定及其变化规律, 宏观经济学通过对国民经济总量相互关系的研究，揭示宏观经济运行中的矛盾、宏观经济变化规律以及政府的经济政策对国民经济的影响,通过经济总量的分析以期为政府制定宏观经济政策提供理论依据。宏观经济学包括理论分析和政策研究两部分。理论分析就是研究各经济总量的特点、影响因素及其变化规律。政策研究则是要研究宏观经济政策的内容、适用条件及作用特点。理论分析是政策研究的基础与前提，政策研究则是理论分析成果的具体运用。宏观经济学一般包括国民收入核算理论、国民收入均衡理论、经济增长理论、就业理论、通货膨胀理论、经济周期理论、经济政策理论等。通过对本课程的学习，将达到以下目标：一是使学生对宏观经济学的理论体系有比较全面的了解，能够以马克思主义经济理论为指导，对西方宏观经济学进行全面的认识和分析评价。二是使学生在充分了解和把握宏观经济学重要理论观点和政策的基础上，加强对经济学科各门课程相互关系的了解，为学生进行其他专业课程的后续学习奠定学科理论基础，使之具备系统扎实的知识体系储备。三是培养学生理论联系实际的能力，引导其分析和把握宏观经济学中能够被借鉴和利用的理论观点和政策措施，并举一反三地分析和认识我国社会主义市场经济建设过程中的宏观经济问题。</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前承课程：微观经济学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后续课程：财务会计、财务管理等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9.概率论与数理统计（课程代码:BC060009）</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总学时：56学时（理论学时56，实验学时0）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 学分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w:t>
      </w:r>
      <w:r>
        <w:rPr>
          <w:rFonts w:hint="eastAsia" w:ascii="宋体" w:hAnsi="宋体" w:eastAsia="宋体" w:cs="宋体"/>
          <w:color w:val="auto"/>
          <w:kern w:val="0"/>
          <w:sz w:val="24"/>
          <w:highlight w:val="none"/>
        </w:rPr>
        <w:t>逐渐培养学生自己提出新问题、思考分析问题的能力，培养创新思维能力，</w:t>
      </w:r>
      <w:r>
        <w:rPr>
          <w:rFonts w:hint="eastAsia" w:ascii="宋体" w:hAnsi="宋体" w:cs="宋体"/>
          <w:color w:val="auto"/>
          <w:kern w:val="0"/>
          <w:sz w:val="24"/>
          <w:highlight w:val="none"/>
        </w:rPr>
        <w:t>为学习后续专业课程奠定基础。</w:t>
      </w:r>
    </w:p>
    <w:p>
      <w:pPr>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前承课程：高等数学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后续课程：统计学、审计学等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10.财务会计（课程代码:BC0500</w:t>
      </w:r>
      <w:r>
        <w:rPr>
          <w:rFonts w:hint="eastAsia" w:ascii="宋体" w:hAnsi="宋体" w:cs="宋体"/>
          <w:b/>
          <w:color w:val="auto"/>
          <w:kern w:val="0"/>
          <w:sz w:val="24"/>
          <w:highlight w:val="none"/>
          <w:lang w:val="en-US" w:eastAsia="zh-CN"/>
        </w:rPr>
        <w:t>58</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学时（理论学时56，实验学时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3.5</w:t>
      </w:r>
      <w:r>
        <w:rPr>
          <w:rFonts w:hint="eastAsia" w:ascii="宋体" w:hAnsi="宋体" w:cs="宋体"/>
          <w:color w:val="auto"/>
          <w:kern w:val="0"/>
          <w:sz w:val="24"/>
          <w:highlight w:val="none"/>
        </w:rPr>
        <w:t>学分</w:t>
      </w:r>
    </w:p>
    <w:p>
      <w:pPr>
        <w:spacing w:line="46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《财务会计》是财务管理专业的专业基础课，教学中起到承前启后的作用。它是学习《</w:t>
      </w:r>
      <w:r>
        <w:rPr>
          <w:rFonts w:hint="eastAsia" w:ascii="宋体" w:hAnsi="宋体" w:cs="宋体"/>
          <w:color w:val="auto"/>
          <w:kern w:val="0"/>
          <w:sz w:val="24"/>
          <w:highlight w:val="none"/>
        </w:rPr>
        <w:t>电算会计</w:t>
      </w:r>
      <w:r>
        <w:rPr>
          <w:rFonts w:hint="eastAsia" w:ascii="宋体" w:hAnsi="宋体" w:cs="宋体"/>
          <w:color w:val="auto"/>
          <w:sz w:val="24"/>
          <w:highlight w:val="none"/>
        </w:rPr>
        <w:t>》和《管理会计》等专业后续课程的基础；设置本课程的目的在于使学生掌握财务会计的重要理论和方法，强化会计理论基础，提高学生对于会计业务的应用能力和职业判断能力。本课程针对新《企业会计准则》中会计要素的确认、计量和报告以及有关制度的规定，按照会计岗位的设置要求，将《财务会计》教学内容分为三大部分。第一部分为基本准则。简要介绍财务会计的概念、特征与目标；重点阐述会计的基本假设、会计信息质量要求和会计报告要素的主要内容；概括说明会计确认的原则、会计计量属性和财务会计报告的构成。第二部分为具体准则。具体介绍货币资金、应收款项、存货、投资、固定资产、无形资产及其他非流动资产、流动负债、非流动负债、所有者权益、收入、费用和利润等具体准则和核算方法。第三部分是财务会计报告。介绍财务报表的构成、分类和列报要求，重点阐述资产负债表、利润表、所有者权益变动表和现金流量表的作用、格式以及编制方法，概要说明财务报表附注的内容与披露要求。通过本课程的教学，旨在培养学生掌握有财务会计的基本理论和方法，使学生具有分析经济业务并进行会计处理的能力。同时，使学生了解会计领域中新的、前沿理论问题。</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w:t>
      </w:r>
    </w:p>
    <w:p>
      <w:pPr>
        <w:spacing w:line="4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后续课程：财务管理、审计学等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1</w:t>
      </w:r>
      <w:r>
        <w:rPr>
          <w:rFonts w:hint="eastAsia" w:ascii="宋体" w:hAnsi="宋体" w:cs="宋体"/>
          <w:b/>
          <w:color w:val="auto"/>
          <w:kern w:val="0"/>
          <w:sz w:val="24"/>
          <w:highlight w:val="none"/>
        </w:rPr>
        <w:t>.统计学（课程代码:BC0500</w:t>
      </w:r>
      <w:r>
        <w:rPr>
          <w:rFonts w:hint="eastAsia" w:ascii="宋体" w:hAnsi="宋体" w:cs="宋体"/>
          <w:b/>
          <w:color w:val="auto"/>
          <w:kern w:val="0"/>
          <w:sz w:val="24"/>
          <w:highlight w:val="none"/>
          <w:lang w:val="en-US" w:eastAsia="zh-CN"/>
        </w:rPr>
        <w:t>61</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学时（理论学时40，实验学时</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学分</w:t>
      </w:r>
    </w:p>
    <w:p>
      <w:pPr>
        <w:spacing w:line="460" w:lineRule="exact"/>
        <w:ind w:firstLine="480" w:firstLineChars="200"/>
        <w:rPr>
          <w:rFonts w:ascii="宋体" w:hAnsi="宋体"/>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统计学》属于方法论科学，是一门实用性很强的学科基础课。它在传统统计理论与方法和现代统计理论与方法相结合的基础上发展起来的关于统计数据收集、处理与分析的方法论科学。作为经济管理重要工具之一，在经济管理学科各专业占有十分重要的地位。设置本课程的目的，一方面是为学习经济与管理学科各专业的后继课程和进行社会经济问题研究提供数量分析方法，另一方面也为了进一步学习专业统计和计量经济课程奠定理论和方法基础。本课程的教学任务主要是使学生了解统计在社会经济分析中的重要作用，掌握描述统计和推断统计的基本内容；另外，使学生在掌握统计基础知识的基础上，很容易地理解其他课程中的一些数量分析方法，并能独立地完成有关资料、数据的收集、整理、分析。本课程主要讲述统计数据的收集、整理以及在经济学、管理学中常用的统计分析方法。通过本课程的学习，要求学生能够比较系统、熟练得掌握统计数据收集、整理、分析的基本理论、基本知识和基本技能；能够结合经济运行过程及其特点，运用所学知识对反映经济活动各方面的统计数据进行收集、整理和分析，指导经济活动，提高经济管理水平服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前承课程：高等数学</w:t>
      </w:r>
    </w:p>
    <w:p>
      <w:pPr>
        <w:spacing w:line="460" w:lineRule="exact"/>
        <w:ind w:firstLine="480" w:firstLineChars="200"/>
        <w:rPr>
          <w:color w:val="auto"/>
          <w:highlight w:val="none"/>
        </w:rPr>
      </w:pPr>
      <w:r>
        <w:rPr>
          <w:rFonts w:hint="eastAsia" w:ascii="宋体" w:hAnsi="宋体" w:cs="宋体"/>
          <w:color w:val="auto"/>
          <w:kern w:val="0"/>
          <w:sz w:val="24"/>
          <w:highlight w:val="none"/>
        </w:rPr>
        <w:t>后续课程：财务管理、审计学等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.经济法（课程代码:BC0500</w:t>
      </w:r>
      <w:r>
        <w:rPr>
          <w:rFonts w:hint="eastAsia" w:ascii="宋体" w:hAnsi="宋体" w:cs="宋体"/>
          <w:b/>
          <w:color w:val="auto"/>
          <w:kern w:val="0"/>
          <w:sz w:val="24"/>
          <w:highlight w:val="none"/>
          <w:lang w:val="en-US" w:eastAsia="zh-CN"/>
        </w:rPr>
        <w:t>69</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widowControl/>
        <w:adjustRightInd w:val="0"/>
        <w:snapToGrid w:val="0"/>
        <w:spacing w:line="460" w:lineRule="exact"/>
        <w:ind w:firstLine="480" w:firstLineChars="200"/>
        <w:rPr>
          <w:rFonts w:ascii="宋体" w:hAnsi="宋体"/>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shd w:val="clear" w:color="auto" w:fill="FFFFFF"/>
        </w:rPr>
        <w:t>《经济法》是为财务管理专业开设的学科基础课。这是一门理论性、应用性较强的课程，先修</w:t>
      </w:r>
      <w:r>
        <w:rPr>
          <w:color w:val="auto"/>
          <w:sz w:val="24"/>
          <w:highlight w:val="none"/>
          <w:shd w:val="clear" w:color="auto" w:fill="FFFFFF"/>
        </w:rPr>
        <w:t>课程主要是</w:t>
      </w:r>
      <w:r>
        <w:rPr>
          <w:rFonts w:hint="eastAsia" w:ascii="宋体" w:hAnsi="宋体"/>
          <w:color w:val="auto"/>
          <w:sz w:val="24"/>
          <w:highlight w:val="none"/>
        </w:rPr>
        <w:t>思想道德修养与法律基础，本课程属于</w:t>
      </w:r>
      <w:r>
        <w:rPr>
          <w:rFonts w:ascii="宋体" w:hAnsi="宋体"/>
          <w:color w:val="auto"/>
          <w:sz w:val="24"/>
          <w:highlight w:val="none"/>
        </w:rPr>
        <w:t>专业基本</w:t>
      </w:r>
      <w:r>
        <w:rPr>
          <w:rFonts w:hint="eastAsia" w:ascii="宋体" w:hAnsi="宋体"/>
          <w:color w:val="auto"/>
          <w:sz w:val="24"/>
          <w:highlight w:val="none"/>
        </w:rPr>
        <w:t>素质</w:t>
      </w:r>
      <w:r>
        <w:rPr>
          <w:rFonts w:ascii="宋体" w:hAnsi="宋体"/>
          <w:color w:val="auto"/>
          <w:sz w:val="24"/>
          <w:highlight w:val="none"/>
        </w:rPr>
        <w:t>类课程。</w:t>
      </w:r>
      <w:r>
        <w:rPr>
          <w:rFonts w:hint="eastAsia" w:ascii="宋体" w:hAnsi="宋体"/>
          <w:color w:val="auto"/>
          <w:sz w:val="24"/>
          <w:highlight w:val="none"/>
        </w:rPr>
        <w:t>本课程</w:t>
      </w:r>
      <w:r>
        <w:rPr>
          <w:rFonts w:ascii="宋体" w:hAnsi="宋体"/>
          <w:color w:val="auto"/>
          <w:sz w:val="24"/>
          <w:highlight w:val="none"/>
        </w:rPr>
        <w:t>在</w:t>
      </w:r>
      <w:r>
        <w:rPr>
          <w:rFonts w:hint="eastAsia" w:ascii="宋体" w:hAnsi="宋体" w:cs="宋体"/>
          <w:color w:val="auto"/>
          <w:kern w:val="0"/>
          <w:sz w:val="24"/>
          <w:highlight w:val="none"/>
        </w:rPr>
        <w:t>内容设置上分为九个部分：经济法基础知识、公司法、个人独资企业法和合伙企业法、外商投资企业法、票据、证券法、破产法、合同法、市场秩序法。教学内容的选取理论丰富，更注重分析法律问题，解决法律问题的能力培养。本课程比较系统地讲授企业的组建、企业的管理运行、企业的破产及纠纷解决过程中涉及的常见法律问题。</w:t>
      </w:r>
      <w:r>
        <w:rPr>
          <w:rFonts w:hint="eastAsia" w:ascii="宋体" w:hAnsi="宋体"/>
          <w:color w:val="auto"/>
          <w:sz w:val="24"/>
          <w:highlight w:val="none"/>
        </w:rPr>
        <w:t>本课程</w:t>
      </w:r>
      <w:r>
        <w:rPr>
          <w:rFonts w:ascii="宋体" w:hAnsi="宋体"/>
          <w:color w:val="auto"/>
          <w:sz w:val="24"/>
          <w:highlight w:val="none"/>
        </w:rPr>
        <w:t>的目标是</w:t>
      </w:r>
      <w:r>
        <w:rPr>
          <w:rFonts w:hint="eastAsia" w:ascii="宋体" w:hAnsi="宋体"/>
          <w:color w:val="auto"/>
          <w:sz w:val="24"/>
          <w:highlight w:val="none"/>
        </w:rPr>
        <w:t>使学生比较</w:t>
      </w:r>
      <w:r>
        <w:rPr>
          <w:rFonts w:ascii="宋体" w:hAnsi="宋体"/>
          <w:color w:val="auto"/>
          <w:sz w:val="24"/>
          <w:highlight w:val="none"/>
        </w:rPr>
        <w:t>全面地对经济法的基本理论、基础知识</w:t>
      </w:r>
      <w:r>
        <w:rPr>
          <w:rFonts w:hint="eastAsia" w:ascii="宋体" w:hAnsi="宋体"/>
          <w:color w:val="auto"/>
          <w:sz w:val="24"/>
          <w:highlight w:val="none"/>
        </w:rPr>
        <w:t>进行</w:t>
      </w:r>
      <w:r>
        <w:rPr>
          <w:rFonts w:ascii="宋体" w:hAnsi="宋体"/>
          <w:color w:val="auto"/>
          <w:sz w:val="24"/>
          <w:highlight w:val="none"/>
        </w:rPr>
        <w:t>了解。使</w:t>
      </w:r>
      <w:r>
        <w:rPr>
          <w:rFonts w:hint="eastAsia" w:ascii="宋体" w:hAnsi="宋体"/>
          <w:color w:val="auto"/>
          <w:sz w:val="24"/>
          <w:highlight w:val="none"/>
        </w:rPr>
        <w:t>学生</w:t>
      </w:r>
      <w:r>
        <w:rPr>
          <w:rFonts w:ascii="宋体" w:hAnsi="宋体"/>
          <w:color w:val="auto"/>
          <w:sz w:val="24"/>
          <w:highlight w:val="none"/>
        </w:rPr>
        <w:t>系统</w:t>
      </w:r>
      <w:r>
        <w:rPr>
          <w:rFonts w:hint="eastAsia" w:ascii="宋体" w:hAnsi="宋体"/>
          <w:color w:val="auto"/>
          <w:sz w:val="24"/>
          <w:highlight w:val="none"/>
        </w:rPr>
        <w:t>掌握</w:t>
      </w:r>
      <w:r>
        <w:rPr>
          <w:rFonts w:ascii="宋体" w:hAnsi="宋体"/>
          <w:color w:val="auto"/>
          <w:sz w:val="24"/>
          <w:highlight w:val="none"/>
        </w:rPr>
        <w:t>我国经济法理论及其相关</w:t>
      </w:r>
      <w:r>
        <w:rPr>
          <w:rFonts w:hint="eastAsia" w:ascii="宋体" w:hAnsi="宋体"/>
          <w:color w:val="auto"/>
          <w:sz w:val="24"/>
          <w:highlight w:val="none"/>
        </w:rPr>
        <w:t>的</w:t>
      </w:r>
      <w:r>
        <w:rPr>
          <w:rFonts w:ascii="宋体" w:hAnsi="宋体"/>
          <w:color w:val="auto"/>
          <w:sz w:val="24"/>
          <w:highlight w:val="none"/>
        </w:rPr>
        <w:t>法律法规</w:t>
      </w:r>
      <w:r>
        <w:rPr>
          <w:rFonts w:hint="eastAsia" w:ascii="宋体" w:hAnsi="宋体"/>
          <w:color w:val="auto"/>
          <w:sz w:val="24"/>
          <w:highlight w:val="none"/>
        </w:rPr>
        <w:t>，</w:t>
      </w:r>
      <w:r>
        <w:rPr>
          <w:rFonts w:ascii="宋体" w:hAnsi="宋体"/>
          <w:color w:val="auto"/>
          <w:sz w:val="24"/>
          <w:highlight w:val="none"/>
        </w:rPr>
        <w:t>培养学生运用经济法</w:t>
      </w:r>
      <w:r>
        <w:rPr>
          <w:rFonts w:hint="eastAsia" w:ascii="宋体" w:hAnsi="宋体"/>
          <w:color w:val="auto"/>
          <w:sz w:val="24"/>
          <w:highlight w:val="none"/>
        </w:rPr>
        <w:t>地</w:t>
      </w:r>
      <w:r>
        <w:rPr>
          <w:rFonts w:ascii="宋体" w:hAnsi="宋体"/>
          <w:color w:val="auto"/>
          <w:sz w:val="24"/>
          <w:highlight w:val="none"/>
        </w:rPr>
        <w:t>原理</w:t>
      </w:r>
      <w:r>
        <w:rPr>
          <w:rFonts w:hint="eastAsia" w:ascii="宋体" w:hAnsi="宋体"/>
          <w:color w:val="auto"/>
          <w:sz w:val="24"/>
          <w:highlight w:val="none"/>
        </w:rPr>
        <w:t>分析</w:t>
      </w:r>
      <w:r>
        <w:rPr>
          <w:rFonts w:ascii="宋体" w:hAnsi="宋体"/>
          <w:color w:val="auto"/>
          <w:sz w:val="24"/>
          <w:highlight w:val="none"/>
        </w:rPr>
        <w:t>和解决经济生活中</w:t>
      </w:r>
      <w:r>
        <w:rPr>
          <w:rFonts w:hint="eastAsia" w:ascii="宋体" w:hAnsi="宋体"/>
          <w:color w:val="auto"/>
          <w:sz w:val="24"/>
          <w:highlight w:val="none"/>
        </w:rPr>
        <w:t>的</w:t>
      </w:r>
      <w:r>
        <w:rPr>
          <w:rFonts w:ascii="宋体" w:hAnsi="宋体"/>
          <w:color w:val="auto"/>
          <w:sz w:val="24"/>
          <w:highlight w:val="none"/>
        </w:rPr>
        <w:t>实际问题的能力</w:t>
      </w:r>
      <w:r>
        <w:rPr>
          <w:rFonts w:hint="eastAsia" w:ascii="宋体" w:hAnsi="宋体"/>
          <w:color w:val="auto"/>
          <w:sz w:val="24"/>
          <w:highlight w:val="none"/>
        </w:rPr>
        <w:t>；</w:t>
      </w:r>
      <w:r>
        <w:rPr>
          <w:rFonts w:hint="eastAsia"/>
          <w:color w:val="auto"/>
          <w:sz w:val="24"/>
          <w:highlight w:val="none"/>
        </w:rPr>
        <w:t>具备依法从业的法治理念和法律意识；具备利用所学法学知识维护自己合法权益的基本能力。</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前承课程：思想道德修养与法律基础</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后续课程：税法、税务会计与税收筹划等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13.税法（课程代码:BC050029）</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widowControl/>
        <w:adjustRightInd w:val="0"/>
        <w:snapToGrid w:val="0"/>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shd w:val="clear" w:color="auto" w:fill="FFFFFF"/>
        </w:rPr>
        <w:t>《税法》是财务管理专业的学科基础课，是财务管理专业本科生培养计划的重要组成部分。通过该课程的学习，学生了解我国现行税法的完整体系以及各项具体的税收实体和程序法律制度，以满足学生以后从事经济管理工作对税法相关知识的需求，对注册会计师方向的学生来说，该课程将为其通过注册会计师全国统一考试打下坚实的基础。本课程旨在帮助学生了解我国税收制度，掌握如何计算缴纳各类税款，以应对日常生活中常见的税收事项。它的基本内容包括税收基础知识、个人所得税、企业所得税、增值税、消费税、车船税、房产税、契税和印花税、土地增值税、税收征管基础知识。教学应遵循循序渐进原则，按照大纲顺序依次讲述，同时注重各章节内容之间内在结构上的整体性和联系性，突出重点，分解难点，做到概念清晰，层次分明，逻辑严密，深入浅出，融会贯通。使学生能够顺利完成本课程的学习，以完善知识结构，提高自学和更新本学科专业知识的能力。鉴于本课程密切联系现实经济生活，技术性和应用性极强的特点，在教学中应当引导学生拓宽视野，注重税法课程和其他注册会计师全国统一考试课程的结合，并特别强调税法理论、制度和实际案例相结合的方法，在课堂讲授满足理论知识学习的前提下，强化案例、习题教学环节。</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前承课程：思想道德修养与法律基础</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后续课程：税务会计与税收筹划等</w:t>
      </w:r>
    </w:p>
    <w:p>
      <w:pPr>
        <w:spacing w:line="460" w:lineRule="exact"/>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lang w:val="en-US" w:eastAsia="zh-CN"/>
        </w:rPr>
        <w:t>14</w:t>
      </w:r>
      <w:r>
        <w:rPr>
          <w:rFonts w:hint="eastAsia" w:ascii="宋体" w:hAnsi="宋体" w:cs="宋体"/>
          <w:b/>
          <w:color w:val="auto"/>
          <w:kern w:val="0"/>
          <w:sz w:val="24"/>
          <w:highlight w:val="none"/>
        </w:rPr>
        <w:t>.市场营销（课程代码:</w:t>
      </w:r>
      <w:r>
        <w:rPr>
          <w:rFonts w:hint="eastAsia" w:ascii="宋体" w:hAnsi="宋体" w:cs="宋体"/>
          <w:b/>
          <w:color w:val="auto"/>
          <w:kern w:val="0"/>
          <w:sz w:val="24"/>
          <w:highlight w:val="none"/>
          <w:lang w:val="en-US" w:eastAsia="zh-CN"/>
        </w:rPr>
        <w:t>BC050027</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总学时：48学时（理论学时40，实验学时8）</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widowControl/>
        <w:shd w:val="clear" w:color="auto" w:fill="FFFFFF"/>
        <w:snapToGrid w:val="0"/>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ascii="宋体" w:hAnsi="宋体"/>
          <w:color w:val="auto"/>
          <w:sz w:val="24"/>
          <w:highlight w:val="none"/>
        </w:rPr>
        <w:t>《市场营销》是财务管理专业的一门</w:t>
      </w:r>
      <w:r>
        <w:rPr>
          <w:rFonts w:hint="eastAsia" w:ascii="宋体" w:hAnsi="宋体"/>
          <w:color w:val="auto"/>
          <w:sz w:val="24"/>
          <w:highlight w:val="none"/>
          <w:lang w:val="en-US" w:eastAsia="zh-CN"/>
        </w:rPr>
        <w:t>学科基础</w:t>
      </w:r>
      <w:r>
        <w:rPr>
          <w:rFonts w:hint="eastAsia" w:ascii="宋体" w:hAnsi="宋体"/>
          <w:color w:val="auto"/>
          <w:sz w:val="24"/>
          <w:highlight w:val="none"/>
        </w:rPr>
        <w:t>课，是一门建立在经济科学、行为科学和现代管理理论基础上的应用学科。它主要介绍了市场营销的基本理论、基本方法和基本技能及营销理论的新动向，并就广泛应用于各种组织的营销实践案例进行剖析，从理论与实际两方面使本课程有较强的实用性。通过本课程的学习，使学生了解、熟悉和掌握有关的市场营销学基本概念、基本理论和解、解决营销问题的基本方法，培养学生分析市场营销问题、解决市场营销问题的能力。其主要内容包括：企业</w:t>
      </w:r>
      <w:r>
        <w:rPr>
          <w:rFonts w:ascii="宋体" w:hAnsi="宋体"/>
          <w:color w:val="auto"/>
          <w:sz w:val="24"/>
          <w:highlight w:val="none"/>
        </w:rPr>
        <w:t>战略规划与市场营销管理过程</w:t>
      </w:r>
      <w:r>
        <w:rPr>
          <w:rFonts w:hint="eastAsia" w:ascii="宋体" w:hAnsi="宋体"/>
          <w:color w:val="auto"/>
          <w:sz w:val="24"/>
          <w:highlight w:val="none"/>
        </w:rPr>
        <w:t>；</w:t>
      </w:r>
      <w:r>
        <w:rPr>
          <w:rFonts w:ascii="宋体" w:hAnsi="宋体"/>
          <w:color w:val="auto"/>
          <w:sz w:val="24"/>
          <w:highlight w:val="none"/>
        </w:rPr>
        <w:t>市场营销环境消费者市场及其购买行为分析</w:t>
      </w:r>
      <w:r>
        <w:rPr>
          <w:rFonts w:hint="eastAsia" w:ascii="宋体" w:hAnsi="宋体"/>
          <w:color w:val="auto"/>
          <w:sz w:val="24"/>
          <w:highlight w:val="none"/>
        </w:rPr>
        <w:t>；</w:t>
      </w:r>
      <w:r>
        <w:rPr>
          <w:rFonts w:ascii="宋体" w:hAnsi="宋体"/>
          <w:color w:val="auto"/>
          <w:sz w:val="24"/>
          <w:highlight w:val="none"/>
        </w:rPr>
        <w:t>组织市场及其购买行为</w:t>
      </w:r>
      <w:r>
        <w:rPr>
          <w:rFonts w:hint="eastAsia" w:ascii="宋体" w:hAnsi="宋体"/>
          <w:color w:val="auto"/>
          <w:sz w:val="24"/>
          <w:highlight w:val="none"/>
        </w:rPr>
        <w:t>；目标市场战略；</w:t>
      </w:r>
      <w:r>
        <w:rPr>
          <w:rFonts w:ascii="宋体" w:hAnsi="宋体"/>
          <w:color w:val="auto"/>
          <w:sz w:val="24"/>
          <w:highlight w:val="none"/>
        </w:rPr>
        <w:t>产品策略</w:t>
      </w:r>
      <w:r>
        <w:rPr>
          <w:rFonts w:hint="eastAsia" w:ascii="宋体" w:hAnsi="宋体"/>
          <w:color w:val="auto"/>
          <w:sz w:val="24"/>
          <w:highlight w:val="none"/>
        </w:rPr>
        <w:t>；</w:t>
      </w:r>
      <w:r>
        <w:rPr>
          <w:rFonts w:ascii="宋体" w:hAnsi="宋体"/>
          <w:color w:val="auto"/>
          <w:sz w:val="24"/>
          <w:highlight w:val="none"/>
        </w:rPr>
        <w:t>商标与包装策略</w:t>
      </w:r>
      <w:r>
        <w:rPr>
          <w:rFonts w:hint="eastAsia" w:ascii="宋体" w:hAnsi="宋体"/>
          <w:color w:val="auto"/>
          <w:sz w:val="24"/>
          <w:highlight w:val="none"/>
        </w:rPr>
        <w:t>；</w:t>
      </w:r>
      <w:r>
        <w:rPr>
          <w:rFonts w:ascii="宋体" w:hAnsi="宋体"/>
          <w:color w:val="auto"/>
          <w:sz w:val="24"/>
          <w:highlight w:val="none"/>
        </w:rPr>
        <w:t>定价策略</w:t>
      </w:r>
      <w:r>
        <w:rPr>
          <w:rFonts w:hint="eastAsia" w:ascii="宋体" w:hAnsi="宋体"/>
          <w:color w:val="auto"/>
          <w:sz w:val="24"/>
          <w:highlight w:val="none"/>
        </w:rPr>
        <w:t>；分销策略；促销策略；市场营销组织、计划与控制。</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前承课程：管理学、经济学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后续课程：人力资源管理等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5.</w:t>
      </w:r>
      <w:r>
        <w:rPr>
          <w:rFonts w:hint="eastAsia" w:ascii="宋体" w:hAnsi="宋体" w:cs="宋体"/>
          <w:b/>
          <w:color w:val="auto"/>
          <w:kern w:val="0"/>
          <w:sz w:val="24"/>
          <w:highlight w:val="none"/>
        </w:rPr>
        <w:t>财务管理（课程代码:</w:t>
      </w:r>
      <w:r>
        <w:rPr>
          <w:rFonts w:hint="eastAsia" w:ascii="宋体" w:hAnsi="宋体" w:cs="宋体"/>
          <w:b/>
          <w:color w:val="auto"/>
          <w:kern w:val="0"/>
          <w:sz w:val="24"/>
          <w:highlight w:val="none"/>
          <w:lang w:val="en-US" w:eastAsia="zh-CN"/>
        </w:rPr>
        <w:t>BD050108</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学时（理论学时56，实验学时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.5学分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财务管理》是财务管理专业开设的一门专业核心课。是对公司经营过程中的财务活动进行预测、组织、协调、分析和控制的一种管理活动。它以企业的投资与筹资及与之相关的问题为研究对象，公司与金融市场的关系是它的一个核心内容。《财务管理》这门课程是企业理论研究和金融理论研究的交叉学科，是管理学科中独具特色的一个领域。通过本课程的学习，学生在全面和系统地掌握财务管理的基本理论和基本方法的基础上，养成学生具有较强的财务管理分析能力和实际理财能力，为社会培养中、高层次的财务管理人才。本课程帮助学生树立财务管理的基本理念，了解企业财务管理的基本框架，掌握基本的财务管理决策方法，为以后的专业课学习奠定坚实的基础。需要掌握财务管理的货币时间价值、风险报酬等基本理念，了解企业的筹资决策、投资决策、流动资金管理、销售预测及利润预测管等基本内容。</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后续课程：高级财务管理、公司战略与风险管理等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6</w:t>
      </w:r>
      <w:r>
        <w:rPr>
          <w:rFonts w:hint="eastAsia" w:ascii="宋体" w:hAnsi="宋体" w:cs="宋体"/>
          <w:b/>
          <w:color w:val="auto"/>
          <w:kern w:val="0"/>
          <w:sz w:val="24"/>
          <w:highlight w:val="none"/>
        </w:rPr>
        <w:t>.成本会计（课程代码:BD050</w:t>
      </w:r>
      <w:r>
        <w:rPr>
          <w:rFonts w:hint="eastAsia" w:ascii="宋体" w:hAnsi="宋体" w:cs="宋体"/>
          <w:b/>
          <w:color w:val="auto"/>
          <w:kern w:val="0"/>
          <w:sz w:val="24"/>
          <w:highlight w:val="none"/>
          <w:lang w:val="en-US" w:eastAsia="zh-CN"/>
        </w:rPr>
        <w:t>131</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概述：《成本会计》是财务管理专业的专业核心课，是基础会计、财务会计课程内容的继续和深入。</w:t>
      </w:r>
      <w:r>
        <w:rPr>
          <w:rFonts w:ascii="宋体" w:hAnsi="宋体" w:cs="宋体"/>
          <w:color w:val="auto"/>
          <w:kern w:val="0"/>
          <w:sz w:val="24"/>
          <w:highlight w:val="none"/>
        </w:rPr>
        <w:t>本课程主要是以工业企业产品生产为核算对象，分别从成本核算原理和成本核算方法</w:t>
      </w:r>
      <w:r>
        <w:rPr>
          <w:rFonts w:hint="eastAsia" w:ascii="宋体" w:hAnsi="宋体" w:cs="宋体"/>
          <w:color w:val="auto"/>
          <w:kern w:val="0"/>
          <w:sz w:val="24"/>
          <w:highlight w:val="none"/>
        </w:rPr>
        <w:t>及分析</w:t>
      </w:r>
      <w:r>
        <w:rPr>
          <w:rFonts w:ascii="宋体" w:hAnsi="宋体" w:cs="宋体"/>
          <w:color w:val="auto"/>
          <w:kern w:val="0"/>
          <w:sz w:val="24"/>
          <w:highlight w:val="none"/>
        </w:rPr>
        <w:t>两大部分，按照产品成本计算程序和成本核算要求讲述产品成本各构成要素的核算方法、产品成本计算方法和成本报表的编制</w:t>
      </w:r>
      <w:r>
        <w:rPr>
          <w:rFonts w:hint="eastAsia"/>
          <w:color w:val="auto"/>
          <w:sz w:val="24"/>
          <w:highlight w:val="none"/>
        </w:rPr>
        <w:t>。本课程教学目标在于使学生了解成本会计的基本理论知识，明确成本会计的任务和环节，熟练运用成本计算的基本方法完成实际工作中的成本核算和成本分析，认识到做好成本会计工作对于企业加强经营管理、提高经济效益的重要意义。</w:t>
      </w:r>
      <w:r>
        <w:rPr>
          <w:rFonts w:hint="eastAsia" w:ascii="宋体" w:hAnsi="宋体" w:cs="宋体"/>
          <w:color w:val="auto"/>
          <w:kern w:val="0"/>
          <w:sz w:val="24"/>
          <w:highlight w:val="none"/>
        </w:rPr>
        <w:t>《成本会计》</w:t>
      </w:r>
      <w:r>
        <w:rPr>
          <w:rFonts w:hint="eastAsia"/>
          <w:color w:val="auto"/>
          <w:sz w:val="24"/>
          <w:highlight w:val="none"/>
        </w:rPr>
        <w:t>课程的主要内容包括：</w:t>
      </w:r>
      <w:r>
        <w:rPr>
          <w:color w:val="auto"/>
          <w:sz w:val="24"/>
          <w:highlight w:val="none"/>
        </w:rPr>
        <w:t>工业企业成本核算的要求和一般程序，有关要素费用的核算，辅助生产费用、制造费用、废品损失和停工损失的核算，生产费用在完工产品与在产品之间分配和归集的核算，产品成本计算的品种法、分</w:t>
      </w:r>
      <w:r>
        <w:rPr>
          <w:rFonts w:hint="eastAsia"/>
          <w:color w:val="auto"/>
          <w:sz w:val="24"/>
          <w:highlight w:val="none"/>
        </w:rPr>
        <w:t>批</w:t>
      </w:r>
      <w:r>
        <w:rPr>
          <w:color w:val="auto"/>
          <w:sz w:val="24"/>
          <w:highlight w:val="none"/>
        </w:rPr>
        <w:t>法、分</w:t>
      </w:r>
      <w:r>
        <w:rPr>
          <w:rFonts w:hint="eastAsia"/>
          <w:color w:val="auto"/>
          <w:sz w:val="24"/>
          <w:highlight w:val="none"/>
        </w:rPr>
        <w:t>步法</w:t>
      </w:r>
      <w:r>
        <w:rPr>
          <w:color w:val="auto"/>
          <w:sz w:val="24"/>
          <w:highlight w:val="none"/>
        </w:rPr>
        <w:t>，以及期间费用的核算和工业企业成本报表的编制和分析</w:t>
      </w:r>
      <w:r>
        <w:rPr>
          <w:rFonts w:hint="eastAsia"/>
          <w:color w:val="auto"/>
          <w:sz w:val="24"/>
          <w:highlight w:val="none"/>
        </w:rPr>
        <w:t>等</w:t>
      </w:r>
      <w:r>
        <w:rPr>
          <w:color w:val="auto"/>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后续课程：管理会计、审计学等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7</w:t>
      </w:r>
      <w:r>
        <w:rPr>
          <w:rFonts w:hint="eastAsia" w:ascii="宋体" w:hAnsi="宋体" w:cs="宋体"/>
          <w:b/>
          <w:color w:val="auto"/>
          <w:kern w:val="0"/>
          <w:sz w:val="24"/>
          <w:highlight w:val="none"/>
        </w:rPr>
        <w:t>.税务会计与税收筹划（课程代码:BD050103）</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.5学分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税务会计与税收筹划》是财务管理专业的一门专业核心课，是一门融税收、会计等知识于一体的应用型学科。主要研究企业会计核算中的涉税问题及其具体账务处理，即确定各个税种应纳税额的基本计算以及处理上与财务会计的区别；同时，把税收筹划作为税务会计的外延内容进行阐述，从管理的角度进行运用和筹划，很好的把税务会计理论、税收法规与会计核算、税收筹划三者系统起来，增强学生掌握涉税问题处理的能力。通过本课程的教学，使学生了解税务会计的涵义、目标、原则、职能等相关概念；理解税务会计与财务会计、税收会计的关系；熟练掌握税收制度的基本要素规定；熟练掌握税收筹划的基本原理和技术方法；熟练掌握各个税种应纳税额的基本计算及其账务处理；能够熟练进行有关纳税申报工作；能够根据企业实际情况，结合相关法规制度，运用专门的技术方法进行税收筹划工作。</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前承课程：基础会计、财务管理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后续课程：管理会计、审计学等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8</w:t>
      </w:r>
      <w:r>
        <w:rPr>
          <w:rFonts w:hint="eastAsia" w:ascii="宋体" w:hAnsi="宋体" w:cs="宋体"/>
          <w:b/>
          <w:color w:val="auto"/>
          <w:kern w:val="0"/>
          <w:sz w:val="24"/>
          <w:highlight w:val="none"/>
        </w:rPr>
        <w:t>.计算机财务管理（课程代码:BD050029）</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总学时：48学时（理论学时0，实验学时48）</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计算机财务管理》是为财务管理专业高年级学生开设的一门讲解计算机在财务管理中应用的方法和技术的专业核心课。是在学习了微观经济学、现代财务理论、管理会计、财务分析和计算机操作知识的基础上，将国际通用的财务管理模型与计算机技术相结合而形成的一系列解决财务问题的专门方法。开设计算机财务管理的目的是培养学生应用先进的计算机管理软件工具（如Excel）建立各种财务管理模型，并应用模型进行定量分析的能力；培养学生在计算机环境中利用各种模型综合应用管理会计、财务管理、经济活动分析、经营决策分析等知识的能力，为使学生在未来的工作岗位上真正发挥管理职能打下良好的基础。教学中紧密结合财务分析和财务管理工作实际，充分吸收西方现代财务管理思想，讲授各种财务决策模型的建立过程，并利用现代教学手段对相关案例进行演示，以使学生获得全面、直观、立体、系统的知识。教学中灵活运用各种教学方法，不断更新教学内容，加强基本技能训练和动手操作能力，理论和实践进行有机结合，培养应用型高级财务管理人才。</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前承课程：excel高级应用、财务管理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后续课程：资产评估等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9</w:t>
      </w:r>
      <w:r>
        <w:rPr>
          <w:rFonts w:hint="eastAsia" w:ascii="宋体" w:hAnsi="宋体" w:cs="宋体"/>
          <w:b/>
          <w:color w:val="auto"/>
          <w:kern w:val="0"/>
          <w:sz w:val="24"/>
          <w:highlight w:val="none"/>
        </w:rPr>
        <w:t>.管理会计（课程代码:BD0500</w:t>
      </w:r>
      <w:r>
        <w:rPr>
          <w:rFonts w:hint="eastAsia" w:ascii="宋体" w:hAnsi="宋体" w:cs="宋体"/>
          <w:b/>
          <w:color w:val="auto"/>
          <w:kern w:val="0"/>
          <w:sz w:val="24"/>
          <w:highlight w:val="none"/>
          <w:lang w:val="en-US" w:eastAsia="zh-CN"/>
        </w:rPr>
        <w:t>96</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学时（理论学时48，实验学时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管理会计》是一门将会计与现代化管理融为一体的综合性学科，在提供决策相关信息和帮助提供计划和控制信息方面，发挥着重要作用。它运用一系列的会计方法，收集、分类、汇总、分析和报告各种经济信息，借以进行预测和决策，制定计划，对经营业务进行控制，对业绩进行评价，以保证企业改善管理，提高经济效益。本课程教学目的在于向学生系统阐述有关管理会计的基本知识和原理，使学生对如何在企业里进行预测、决策和控制等方面知识有比较系统地掌握，使学生掌握观察和分析问题的正确方法。《管理会计》课程的主要内容包括：有关成本的分类，成本性态的分析与应用，吸收成本法与变动成本法，本量利分析，经营预测，经营决策，投资决策，预算管理与责任会计，标准成本法，作业成本法等。</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前承课程：基础会计、财务管理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20</w:t>
      </w:r>
      <w:r>
        <w:rPr>
          <w:rFonts w:hint="eastAsia" w:ascii="宋体" w:hAnsi="宋体" w:cs="宋体"/>
          <w:b/>
          <w:color w:val="auto"/>
          <w:kern w:val="0"/>
          <w:sz w:val="24"/>
          <w:highlight w:val="none"/>
        </w:rPr>
        <w:t>.电算会计（课程代码:BD050005）</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总学时：48学时（理论学时0，实验学时48）</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ascii="宋体" w:hAnsi="宋体" w:cs="宋体"/>
          <w:color w:val="auto"/>
          <w:sz w:val="24"/>
          <w:highlight w:val="none"/>
        </w:rPr>
        <w:t>《电算会计》是一门操作技能方面的专业核心课，既要学习相关的电算会计理论知识，又要学习财务软件的操作技能。本课程以传授会计电算化必备的理论知识和基本操作技能为主要目的，要求学生掌握会计电算化的基本概念和基础知识，理解实现会计电算化的意义、步骤和方法。通过计算机应用技术知识，账务处理系统，会计报表系统，工资管理系统，固定资产管理系统及实务模拟等内容的教学，熟练地运用会计核算软件进行操作，达到财政部对会计从业人员的会计电算化方面的要求。学生通过实验掌握电算化会计的基本内容；掌握财务软件的基本操作；熟练使用用友财务软件的财务软件的初始设置；日常会计业务处理；月末处理；UFO报表；综合完成一整套会计业务的电算化会计核算；掌握设计会计报表的能力；最终达到熟练编制会计报表。系统初始化包括建立账套、设置基础信息和基础档案，录入初始数据，将通用财务软件转化为专用财务软件，体现各个会计主体在核算上和管理上的个性化需要；日常账务处理主要包括账务处理、应收款管理、应付款管理、工资管理、固定资产管理等内容，是会计核算的主要工作；期末业务助理主要包括期末自动转账业务处理和结账工作；报表制作主要包括报表模板的制作与会计报表的生成等。</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后续课程：ERP供应链管理等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en-US" w:eastAsia="zh-CN"/>
        </w:rPr>
        <w:t>1</w:t>
      </w:r>
      <w:r>
        <w:rPr>
          <w:rFonts w:hint="eastAsia" w:ascii="宋体" w:hAnsi="宋体" w:cs="宋体"/>
          <w:b/>
          <w:color w:val="auto"/>
          <w:kern w:val="0"/>
          <w:sz w:val="24"/>
          <w:highlight w:val="none"/>
        </w:rPr>
        <w:t>.审计学（课程代码:</w:t>
      </w:r>
      <w:r>
        <w:rPr>
          <w:rFonts w:hint="eastAsia" w:ascii="宋体" w:hAnsi="宋体" w:cs="宋体"/>
          <w:b/>
          <w:color w:val="auto"/>
          <w:kern w:val="0"/>
          <w:sz w:val="24"/>
          <w:highlight w:val="none"/>
          <w:lang w:val="en-US" w:eastAsia="zh-CN"/>
        </w:rPr>
        <w:t>BD050116</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总学时：56学时（理论学时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ascii="宋体" w:hAnsi="宋体" w:cs="宋体"/>
          <w:color w:val="auto"/>
          <w:sz w:val="24"/>
          <w:highlight w:val="none"/>
        </w:rPr>
        <w:t>《审计学》是财务管理专业的专业核心课，以《基础</w:t>
      </w:r>
      <w:r>
        <w:rPr>
          <w:rFonts w:hint="eastAsia" w:ascii="宋体" w:hAnsi="宋体" w:cs="宋体"/>
          <w:color w:val="auto"/>
          <w:kern w:val="0"/>
          <w:sz w:val="24"/>
          <w:highlight w:val="none"/>
        </w:rPr>
        <w:t>会计</w:t>
      </w:r>
      <w:r>
        <w:rPr>
          <w:rFonts w:hint="eastAsia" w:ascii="宋体" w:hAnsi="宋体" w:cs="宋体"/>
          <w:color w:val="auto"/>
          <w:sz w:val="24"/>
          <w:highlight w:val="none"/>
        </w:rPr>
        <w:t>》和《财务会计》等作为先导课程，设置本课程的目的在于使学生理解风险导向型审计的思维，掌握审计的基本理论和方法，具有以提高企业经济效益和社会效益为核心，进行审计监督、参与经济管理的能力。《审计学》包括审计理论与审计实务两大模块，审计理论部分以注册会计师审计为主线，以财务报表审计为重点，</w:t>
      </w:r>
      <w:r>
        <w:rPr>
          <w:rFonts w:hint="eastAsia" w:cs="宋体"/>
          <w:color w:val="auto"/>
          <w:sz w:val="24"/>
          <w:highlight w:val="none"/>
        </w:rPr>
        <w:t>介绍审计的产生与发展、审计主体、审计目标、审计过程、审计方法、审计证据、抽样审计、审计报告以及注册会计师职业道德与法律责任等基本审计理论。审计实务部分包括企业销售与收款循环、购货与付款循环、生产与费用循环以及筹资与投资循环的审计，具体介绍企业财务报表审计的实务操作流程和关键环节。</w:t>
      </w:r>
      <w:r>
        <w:rPr>
          <w:rFonts w:hint="eastAsia" w:ascii="宋体" w:hAnsi="宋体" w:cs="宋体"/>
          <w:color w:val="auto"/>
          <w:sz w:val="24"/>
          <w:highlight w:val="none"/>
        </w:rPr>
        <w:t>通过本课程的教学，旨在使学生</w:t>
      </w:r>
      <w:r>
        <w:rPr>
          <w:rFonts w:hint="eastAsia" w:cs="宋体"/>
          <w:bCs/>
          <w:color w:val="auto"/>
          <w:sz w:val="24"/>
          <w:highlight w:val="none"/>
          <w:lang w:val="zh-CN"/>
        </w:rPr>
        <w:t>掌握审计从业人员应具备的审计理论和方法，能独立地进行审计判断与案例分析，可以把所学的知识运用于审计实践当中，</w:t>
      </w:r>
      <w:r>
        <w:rPr>
          <w:rFonts w:hint="eastAsia"/>
          <w:color w:val="auto"/>
          <w:sz w:val="24"/>
          <w:highlight w:val="none"/>
        </w:rPr>
        <w:t>培养出拥有扎实审计理论知识体系的实用技能型人才。</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后续课程：企业价值评估等</w:t>
      </w:r>
    </w:p>
    <w:p>
      <w:pPr>
        <w:spacing w:line="460" w:lineRule="exact"/>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lang w:val="en-US" w:eastAsia="zh-CN"/>
        </w:rPr>
        <w:t>22</w:t>
      </w:r>
      <w:r>
        <w:rPr>
          <w:rFonts w:hint="eastAsia" w:ascii="宋体" w:hAnsi="宋体" w:cs="宋体"/>
          <w:b/>
          <w:color w:val="auto"/>
          <w:kern w:val="0"/>
          <w:sz w:val="24"/>
          <w:highlight w:val="none"/>
        </w:rPr>
        <w:t>.财务分析（课程代码:</w:t>
      </w:r>
      <w:r>
        <w:rPr>
          <w:rFonts w:hint="eastAsia" w:ascii="宋体" w:hAnsi="宋体" w:cs="宋体"/>
          <w:b/>
          <w:color w:val="auto"/>
          <w:kern w:val="0"/>
          <w:sz w:val="24"/>
          <w:highlight w:val="none"/>
          <w:lang w:val="en-US" w:eastAsia="zh-CN"/>
        </w:rPr>
        <w:t>BD050107</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40</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40</w:t>
      </w:r>
      <w:r>
        <w:rPr>
          <w:rFonts w:hint="eastAsia" w:ascii="宋体" w:hAnsi="宋体" w:cs="宋体"/>
          <w:color w:val="auto"/>
          <w:kern w:val="0"/>
          <w:sz w:val="24"/>
          <w:highlight w:val="none"/>
        </w:rPr>
        <w:t>，实验学时0）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学分</w:t>
      </w:r>
    </w:p>
    <w:p>
      <w:pPr>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财务分析》是为财务管理专业高年级学生开设的一门以提高学生综合分析能力为目的的课程。是在学习了微观经济学、管理经济学和财务管理的基本原理，财务管理的基本理论与方法的基础上，将基本理论与财务分析实务相结合而形成的一系列专门方法。财务分析作为一门独立的学科，本身就是一门非常值得研究的学问，有其特有的理论和方法，有其特有的规律性，对企业作好财务管理工作、找出财务管理上存在的问题并进一步改进企业管理具有及其重要的作用。教学中紧密结合我国财务制度和企业财务管理工作实际，充分吸收西方现代财务分析思想，在介绍财务分析基本原理的基础上，重点介绍面对企业财务报表和实际问题的分析工具和方法。教学中运用现代化教学手段，灵活运用各种教学方法，不断更新教学内容，在教学过程中应注意财务分析和其他课程内容的联系，财务分析的发展以及财务分析的局限性，教导学生正确运用分析的结果，加强基本技能训练，培养应用型高级财务管理人才。</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前承课程：财务管理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后续课程：高级财务管理等</w:t>
      </w:r>
    </w:p>
    <w:p>
      <w:pPr>
        <w:spacing w:line="440" w:lineRule="exact"/>
        <w:jc w:val="center"/>
        <w:rPr>
          <w:rFonts w:hint="eastAsia" w:ascii="方正小标宋简体" w:hAnsi="方正小标宋简体" w:eastAsia="方正小标宋简体" w:cs="方正小标宋简体"/>
          <w:bCs/>
          <w:color w:val="auto"/>
          <w:sz w:val="44"/>
          <w:szCs w:val="44"/>
          <w:highlight w:val="none"/>
        </w:rPr>
      </w:pPr>
    </w:p>
    <w:p>
      <w:pPr>
        <w:spacing w:line="440" w:lineRule="exact"/>
        <w:jc w:val="center"/>
        <w:rPr>
          <w:rFonts w:hint="eastAsia" w:ascii="方正小标宋简体" w:hAnsi="方正小标宋简体" w:eastAsia="方正小标宋简体" w:cs="方正小标宋简体"/>
          <w:bCs/>
          <w:color w:val="auto"/>
          <w:sz w:val="44"/>
          <w:szCs w:val="44"/>
          <w:highlight w:val="none"/>
        </w:rPr>
      </w:pPr>
    </w:p>
    <w:p>
      <w:pPr>
        <w:spacing w:line="440" w:lineRule="exact"/>
        <w:jc w:val="center"/>
        <w:rPr>
          <w:rFonts w:hint="eastAsia" w:ascii="方正小标宋简体" w:hAnsi="方正小标宋简体" w:eastAsia="方正小标宋简体" w:cs="方正小标宋简体"/>
          <w:bCs/>
          <w:color w:val="auto"/>
          <w:sz w:val="44"/>
          <w:szCs w:val="44"/>
          <w:highlight w:val="none"/>
        </w:rPr>
      </w:pPr>
    </w:p>
    <w:p>
      <w:pPr>
        <w:spacing w:line="440" w:lineRule="exact"/>
        <w:jc w:val="center"/>
        <w:rPr>
          <w:rFonts w:hint="eastAsia" w:ascii="方正小标宋简体" w:hAnsi="方正小标宋简体" w:eastAsia="方正小标宋简体" w:cs="方正小标宋简体"/>
          <w:bCs/>
          <w:color w:val="auto"/>
          <w:sz w:val="44"/>
          <w:szCs w:val="44"/>
          <w:highlight w:val="none"/>
        </w:rPr>
      </w:pPr>
    </w:p>
    <w:p>
      <w:pPr>
        <w:spacing w:line="440" w:lineRule="exact"/>
        <w:jc w:val="center"/>
        <w:rPr>
          <w:rFonts w:hint="eastAsia" w:ascii="方正小标宋简体" w:hAnsi="方正小标宋简体" w:eastAsia="方正小标宋简体" w:cs="方正小标宋简体"/>
          <w:bCs/>
          <w:color w:val="auto"/>
          <w:sz w:val="44"/>
          <w:szCs w:val="44"/>
          <w:highlight w:val="none"/>
        </w:rPr>
      </w:pPr>
    </w:p>
    <w:p>
      <w:pPr>
        <w:spacing w:line="440" w:lineRule="exact"/>
        <w:jc w:val="center"/>
        <w:rPr>
          <w:rFonts w:hint="eastAsia" w:ascii="方正小标宋简体" w:hAnsi="方正小标宋简体" w:eastAsia="方正小标宋简体" w:cs="方正小标宋简体"/>
          <w:bCs/>
          <w:color w:val="auto"/>
          <w:sz w:val="44"/>
          <w:szCs w:val="44"/>
          <w:highlight w:val="none"/>
        </w:rPr>
      </w:pPr>
    </w:p>
    <w:p>
      <w:pPr>
        <w:spacing w:line="440" w:lineRule="exact"/>
        <w:jc w:val="center"/>
        <w:rPr>
          <w:rFonts w:hint="eastAsia" w:ascii="方正小标宋简体" w:hAnsi="方正小标宋简体" w:eastAsia="方正小标宋简体" w:cs="方正小标宋简体"/>
          <w:bCs/>
          <w:color w:val="auto"/>
          <w:sz w:val="44"/>
          <w:szCs w:val="44"/>
          <w:highlight w:val="none"/>
        </w:rPr>
      </w:pPr>
    </w:p>
    <w:sectPr>
      <w:footerReference r:id="rId3" w:type="default"/>
      <w:pgSz w:w="11906" w:h="16838"/>
      <w:pgMar w:top="1531" w:right="1361" w:bottom="850"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479"/>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00660" cy="172720"/>
              <wp:effectExtent l="0" t="0" r="2540" b="11430"/>
              <wp:wrapNone/>
              <wp:docPr id="5" name="文本框 5"/>
              <wp:cNvGraphicFramePr/>
              <a:graphic xmlns:a="http://schemas.openxmlformats.org/drawingml/2006/main">
                <a:graphicData uri="http://schemas.microsoft.com/office/word/2010/wordprocessingShape">
                  <wps:wsp>
                    <wps:cNvSpPr txBox="1"/>
                    <wps:spPr>
                      <a:xfrm>
                        <a:off x="0" y="0"/>
                        <a:ext cx="200660" cy="1727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187</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3.6pt;width:15.8pt;mso-position-horizontal:center;mso-position-horizontal-relative:margin;mso-wrap-style:none;z-index:251659264;mso-width-relative:page;mso-height-relative:page;" filled="f" stroked="f" coordsize="21600,21600" o:gfxdata="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cWb7LSAAAAAwEAAA8AAAAAAAAAAQAgAAAAIgAAAGRycy9kb3ducmV2LnhtbFBLAQIUABQAAAAI&#10;AIdO4kCrKlU2LAIAAFMEAAAOAAAAAAAAAAEAIAAAACEBAABkcnMvZTJvRG9jLnhtbFBLBQYAAAAA&#10;BgAGAFkBAAC/BQAAAAA=&#10;">
              <v:fill on="f" focussize="0,0"/>
              <v:stroke on="f" weight="0.5pt"/>
              <v:imagedata o:title=""/>
              <o:lock v:ext="edit" aspectratio="f"/>
              <v:textbox inset="0mm,0mm,0mm,0mm" style="mso-fit-shape-to-text:t;">
                <w:txbxContent>
                  <w:p>
                    <w:pPr>
                      <w:pStyle w:val="5"/>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187</w:t>
                    </w:r>
                    <w:r>
                      <w:rPr>
                        <w:rFonts w:hint="eastAsia" w:ascii="宋体" w:hAnsi="宋体" w:eastAsia="宋体" w:cs="宋体"/>
                        <w:sz w:val="21"/>
                        <w:szCs w:val="21"/>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A29A6"/>
    <w:multiLevelType w:val="singleLevel"/>
    <w:tmpl w:val="B45A29A6"/>
    <w:lvl w:ilvl="0" w:tentative="0">
      <w:start w:val="2"/>
      <w:numFmt w:val="chineseCounting"/>
      <w:suff w:val="nothing"/>
      <w:lvlText w:val="（%1）"/>
      <w:lvlJc w:val="left"/>
      <w:rPr>
        <w:rFonts w:hint="eastAsia"/>
      </w:rPr>
    </w:lvl>
  </w:abstractNum>
  <w:abstractNum w:abstractNumId="1">
    <w:nsid w:val="C73EDB1E"/>
    <w:multiLevelType w:val="singleLevel"/>
    <w:tmpl w:val="C73EDB1E"/>
    <w:lvl w:ilvl="0" w:tentative="0">
      <w:start w:val="5"/>
      <w:numFmt w:val="chineseCounting"/>
      <w:suff w:val="nothing"/>
      <w:lvlText w:val="%1、"/>
      <w:lvlJc w:val="left"/>
      <w:rPr>
        <w:rFonts w:hint="eastAsia"/>
      </w:rPr>
    </w:lvl>
  </w:abstractNum>
  <w:abstractNum w:abstractNumId="2">
    <w:nsid w:val="5662E5A6"/>
    <w:multiLevelType w:val="singleLevel"/>
    <w:tmpl w:val="5662E5A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xODNiMDE2ZmQ3YmI2NzNmMGY2OGMyODU0OTc2MDMifQ=="/>
  </w:docVars>
  <w:rsids>
    <w:rsidRoot w:val="00EA5F1E"/>
    <w:rsid w:val="000D27A3"/>
    <w:rsid w:val="000D68D3"/>
    <w:rsid w:val="00180EEE"/>
    <w:rsid w:val="001A2E75"/>
    <w:rsid w:val="001D15E0"/>
    <w:rsid w:val="001D294D"/>
    <w:rsid w:val="00220BBE"/>
    <w:rsid w:val="00287E91"/>
    <w:rsid w:val="002966B3"/>
    <w:rsid w:val="002A3636"/>
    <w:rsid w:val="002F4CB7"/>
    <w:rsid w:val="00392289"/>
    <w:rsid w:val="003A50F2"/>
    <w:rsid w:val="003A642C"/>
    <w:rsid w:val="003F269C"/>
    <w:rsid w:val="00464E8A"/>
    <w:rsid w:val="00481BCC"/>
    <w:rsid w:val="004A32EF"/>
    <w:rsid w:val="004B001D"/>
    <w:rsid w:val="004C2C13"/>
    <w:rsid w:val="00552A20"/>
    <w:rsid w:val="00566562"/>
    <w:rsid w:val="005839A0"/>
    <w:rsid w:val="0060303A"/>
    <w:rsid w:val="008D026C"/>
    <w:rsid w:val="00955D87"/>
    <w:rsid w:val="009C4556"/>
    <w:rsid w:val="00A345A6"/>
    <w:rsid w:val="00A50A78"/>
    <w:rsid w:val="00AD275A"/>
    <w:rsid w:val="00AF39FF"/>
    <w:rsid w:val="00B315D1"/>
    <w:rsid w:val="00B37B8A"/>
    <w:rsid w:val="00BA2395"/>
    <w:rsid w:val="00BD6BD8"/>
    <w:rsid w:val="00C04AB6"/>
    <w:rsid w:val="00C46A8A"/>
    <w:rsid w:val="00C51EEE"/>
    <w:rsid w:val="00C73F75"/>
    <w:rsid w:val="00CB2651"/>
    <w:rsid w:val="00CE5801"/>
    <w:rsid w:val="00CF2A2C"/>
    <w:rsid w:val="00D11DA3"/>
    <w:rsid w:val="00D37716"/>
    <w:rsid w:val="00D67843"/>
    <w:rsid w:val="00D91EF2"/>
    <w:rsid w:val="00E36BF1"/>
    <w:rsid w:val="00E64754"/>
    <w:rsid w:val="00E669A4"/>
    <w:rsid w:val="00EA5F1E"/>
    <w:rsid w:val="00EE5248"/>
    <w:rsid w:val="00EF50FC"/>
    <w:rsid w:val="00F45E5E"/>
    <w:rsid w:val="00F47FE6"/>
    <w:rsid w:val="01282AE0"/>
    <w:rsid w:val="014A4A05"/>
    <w:rsid w:val="01650D76"/>
    <w:rsid w:val="01B577B4"/>
    <w:rsid w:val="02033B0F"/>
    <w:rsid w:val="024507E5"/>
    <w:rsid w:val="0298183D"/>
    <w:rsid w:val="032A7D01"/>
    <w:rsid w:val="03705DE0"/>
    <w:rsid w:val="041E6B35"/>
    <w:rsid w:val="04A84702"/>
    <w:rsid w:val="057844B2"/>
    <w:rsid w:val="05F93EB8"/>
    <w:rsid w:val="065F6E9F"/>
    <w:rsid w:val="067B7706"/>
    <w:rsid w:val="06826941"/>
    <w:rsid w:val="06C068D8"/>
    <w:rsid w:val="077A3F92"/>
    <w:rsid w:val="07D705E5"/>
    <w:rsid w:val="07F21622"/>
    <w:rsid w:val="0827200D"/>
    <w:rsid w:val="08591B53"/>
    <w:rsid w:val="085D4649"/>
    <w:rsid w:val="09501FCD"/>
    <w:rsid w:val="0963351E"/>
    <w:rsid w:val="09696235"/>
    <w:rsid w:val="09BF297C"/>
    <w:rsid w:val="0A4B2F66"/>
    <w:rsid w:val="0A676BEA"/>
    <w:rsid w:val="0AB8772C"/>
    <w:rsid w:val="0AB934C6"/>
    <w:rsid w:val="0B4866EE"/>
    <w:rsid w:val="0B4C1B14"/>
    <w:rsid w:val="0B6157BD"/>
    <w:rsid w:val="0B88233A"/>
    <w:rsid w:val="0BC55DEB"/>
    <w:rsid w:val="0C621A1F"/>
    <w:rsid w:val="0C765F65"/>
    <w:rsid w:val="0CE42511"/>
    <w:rsid w:val="0CF77C65"/>
    <w:rsid w:val="0E28775F"/>
    <w:rsid w:val="0E515AA8"/>
    <w:rsid w:val="0E651340"/>
    <w:rsid w:val="0E8A26CE"/>
    <w:rsid w:val="0EC038C6"/>
    <w:rsid w:val="0EE779EA"/>
    <w:rsid w:val="0F315D08"/>
    <w:rsid w:val="0F927A15"/>
    <w:rsid w:val="0FAB7F1E"/>
    <w:rsid w:val="0FD930FE"/>
    <w:rsid w:val="0FE90573"/>
    <w:rsid w:val="10865F7F"/>
    <w:rsid w:val="108A4EC0"/>
    <w:rsid w:val="10FA7BEC"/>
    <w:rsid w:val="11830252"/>
    <w:rsid w:val="11A55DA1"/>
    <w:rsid w:val="11C12528"/>
    <w:rsid w:val="11E34561"/>
    <w:rsid w:val="12577914"/>
    <w:rsid w:val="13C11D18"/>
    <w:rsid w:val="13CA091B"/>
    <w:rsid w:val="14883422"/>
    <w:rsid w:val="148D1503"/>
    <w:rsid w:val="14912885"/>
    <w:rsid w:val="15884A95"/>
    <w:rsid w:val="159A177D"/>
    <w:rsid w:val="15A14572"/>
    <w:rsid w:val="15B15331"/>
    <w:rsid w:val="15CD005E"/>
    <w:rsid w:val="15FC0822"/>
    <w:rsid w:val="16215291"/>
    <w:rsid w:val="164852C2"/>
    <w:rsid w:val="16E1166E"/>
    <w:rsid w:val="171C4533"/>
    <w:rsid w:val="174D2ED0"/>
    <w:rsid w:val="17D124EF"/>
    <w:rsid w:val="18A565D3"/>
    <w:rsid w:val="18ED34C3"/>
    <w:rsid w:val="1A3348FA"/>
    <w:rsid w:val="1BEA0211"/>
    <w:rsid w:val="1BFB6C05"/>
    <w:rsid w:val="1C322F7C"/>
    <w:rsid w:val="1CA3156E"/>
    <w:rsid w:val="1CBC430C"/>
    <w:rsid w:val="1D1D22D9"/>
    <w:rsid w:val="1DCB3D37"/>
    <w:rsid w:val="1DE66251"/>
    <w:rsid w:val="1E702900"/>
    <w:rsid w:val="1E916C03"/>
    <w:rsid w:val="1EC024D4"/>
    <w:rsid w:val="1F455E97"/>
    <w:rsid w:val="1FBB743B"/>
    <w:rsid w:val="201F12F2"/>
    <w:rsid w:val="20581420"/>
    <w:rsid w:val="207916D4"/>
    <w:rsid w:val="2083345B"/>
    <w:rsid w:val="209C5500"/>
    <w:rsid w:val="21927782"/>
    <w:rsid w:val="21B509C9"/>
    <w:rsid w:val="21D55A16"/>
    <w:rsid w:val="2204313D"/>
    <w:rsid w:val="22077407"/>
    <w:rsid w:val="228A0C0E"/>
    <w:rsid w:val="22BE38F1"/>
    <w:rsid w:val="234C0D14"/>
    <w:rsid w:val="23B02092"/>
    <w:rsid w:val="23BD04D1"/>
    <w:rsid w:val="23BF2DB3"/>
    <w:rsid w:val="23FE3979"/>
    <w:rsid w:val="241E37B2"/>
    <w:rsid w:val="24371FE4"/>
    <w:rsid w:val="25581231"/>
    <w:rsid w:val="256214B0"/>
    <w:rsid w:val="25AF6AC4"/>
    <w:rsid w:val="25CF1797"/>
    <w:rsid w:val="260418C0"/>
    <w:rsid w:val="260B2AB2"/>
    <w:rsid w:val="262029E6"/>
    <w:rsid w:val="26775279"/>
    <w:rsid w:val="269224A2"/>
    <w:rsid w:val="26AF2D1F"/>
    <w:rsid w:val="278A3B73"/>
    <w:rsid w:val="279400C4"/>
    <w:rsid w:val="29606EBC"/>
    <w:rsid w:val="297A48D5"/>
    <w:rsid w:val="29D42FDF"/>
    <w:rsid w:val="2A835AA7"/>
    <w:rsid w:val="2AE80DE9"/>
    <w:rsid w:val="2B152545"/>
    <w:rsid w:val="2BA36111"/>
    <w:rsid w:val="2BCE4D91"/>
    <w:rsid w:val="2C093C55"/>
    <w:rsid w:val="2CAB0EAA"/>
    <w:rsid w:val="2D7B5F44"/>
    <w:rsid w:val="2DBB0C72"/>
    <w:rsid w:val="2DF5794B"/>
    <w:rsid w:val="2E3E17D6"/>
    <w:rsid w:val="2E7B056A"/>
    <w:rsid w:val="2E847EC0"/>
    <w:rsid w:val="2EAC1AC5"/>
    <w:rsid w:val="2EB65DE3"/>
    <w:rsid w:val="2EFB5896"/>
    <w:rsid w:val="2F0361F1"/>
    <w:rsid w:val="2F0732DB"/>
    <w:rsid w:val="2F3947F6"/>
    <w:rsid w:val="2F6725BC"/>
    <w:rsid w:val="319B415D"/>
    <w:rsid w:val="31C3610C"/>
    <w:rsid w:val="31C40A0E"/>
    <w:rsid w:val="31C45AAA"/>
    <w:rsid w:val="322A7E2F"/>
    <w:rsid w:val="32AC78A7"/>
    <w:rsid w:val="32C26345"/>
    <w:rsid w:val="32E149C1"/>
    <w:rsid w:val="340319FC"/>
    <w:rsid w:val="34F54001"/>
    <w:rsid w:val="34FD3C33"/>
    <w:rsid w:val="353B3420"/>
    <w:rsid w:val="355C710A"/>
    <w:rsid w:val="35676C67"/>
    <w:rsid w:val="357F4BFF"/>
    <w:rsid w:val="35824BE6"/>
    <w:rsid w:val="36553F3B"/>
    <w:rsid w:val="367876AF"/>
    <w:rsid w:val="36E42BAF"/>
    <w:rsid w:val="36E60503"/>
    <w:rsid w:val="371C24CA"/>
    <w:rsid w:val="37536D32"/>
    <w:rsid w:val="376F60F5"/>
    <w:rsid w:val="37BB1528"/>
    <w:rsid w:val="3877657C"/>
    <w:rsid w:val="38847E9E"/>
    <w:rsid w:val="3886227C"/>
    <w:rsid w:val="38F608E3"/>
    <w:rsid w:val="390F771A"/>
    <w:rsid w:val="39A43A85"/>
    <w:rsid w:val="3A0F0429"/>
    <w:rsid w:val="3AB46F3A"/>
    <w:rsid w:val="3B5817EA"/>
    <w:rsid w:val="3BD25D7E"/>
    <w:rsid w:val="3C6435F9"/>
    <w:rsid w:val="3C9F70B8"/>
    <w:rsid w:val="3CA51783"/>
    <w:rsid w:val="3CD75FEC"/>
    <w:rsid w:val="3D7136EF"/>
    <w:rsid w:val="3DBC3693"/>
    <w:rsid w:val="3DCE5865"/>
    <w:rsid w:val="3DEF14DE"/>
    <w:rsid w:val="3E5C70C5"/>
    <w:rsid w:val="3EDB7C20"/>
    <w:rsid w:val="3F5811A0"/>
    <w:rsid w:val="3F666D7C"/>
    <w:rsid w:val="3FAA5E6A"/>
    <w:rsid w:val="4068205E"/>
    <w:rsid w:val="408F596E"/>
    <w:rsid w:val="40957573"/>
    <w:rsid w:val="40AF5E07"/>
    <w:rsid w:val="40B07200"/>
    <w:rsid w:val="40D37BCD"/>
    <w:rsid w:val="41381EE7"/>
    <w:rsid w:val="416F2147"/>
    <w:rsid w:val="417706EE"/>
    <w:rsid w:val="41A3415D"/>
    <w:rsid w:val="422D7956"/>
    <w:rsid w:val="428B057C"/>
    <w:rsid w:val="42A164F8"/>
    <w:rsid w:val="42AE30AA"/>
    <w:rsid w:val="43075CB1"/>
    <w:rsid w:val="432567EC"/>
    <w:rsid w:val="439855A2"/>
    <w:rsid w:val="439D49F8"/>
    <w:rsid w:val="441B3FEE"/>
    <w:rsid w:val="44252BE4"/>
    <w:rsid w:val="4453331F"/>
    <w:rsid w:val="44576CB6"/>
    <w:rsid w:val="44600D25"/>
    <w:rsid w:val="446B1255"/>
    <w:rsid w:val="44D632F9"/>
    <w:rsid w:val="44E608BE"/>
    <w:rsid w:val="450826CE"/>
    <w:rsid w:val="45D33C1C"/>
    <w:rsid w:val="45D40514"/>
    <w:rsid w:val="46470201"/>
    <w:rsid w:val="465A2A8B"/>
    <w:rsid w:val="468115EC"/>
    <w:rsid w:val="46B91754"/>
    <w:rsid w:val="47991E52"/>
    <w:rsid w:val="4854509C"/>
    <w:rsid w:val="48666946"/>
    <w:rsid w:val="48741BC6"/>
    <w:rsid w:val="488051EF"/>
    <w:rsid w:val="48D3600C"/>
    <w:rsid w:val="493E2A01"/>
    <w:rsid w:val="49E11241"/>
    <w:rsid w:val="4A470556"/>
    <w:rsid w:val="4A4B0BFA"/>
    <w:rsid w:val="4AAA54D8"/>
    <w:rsid w:val="4AE20EB5"/>
    <w:rsid w:val="4B02382E"/>
    <w:rsid w:val="4B17680D"/>
    <w:rsid w:val="4B525F14"/>
    <w:rsid w:val="4B53337A"/>
    <w:rsid w:val="4BA47C2C"/>
    <w:rsid w:val="4C9D2464"/>
    <w:rsid w:val="4D4D529C"/>
    <w:rsid w:val="4DC44D11"/>
    <w:rsid w:val="4DE516A9"/>
    <w:rsid w:val="4E0652E1"/>
    <w:rsid w:val="4EA84664"/>
    <w:rsid w:val="4EBD1FC1"/>
    <w:rsid w:val="4ED5596C"/>
    <w:rsid w:val="4F0E5FDD"/>
    <w:rsid w:val="4F7E5A81"/>
    <w:rsid w:val="4FDD0DB5"/>
    <w:rsid w:val="506A5BE0"/>
    <w:rsid w:val="50757A1E"/>
    <w:rsid w:val="50E00769"/>
    <w:rsid w:val="50ED60D5"/>
    <w:rsid w:val="5133074A"/>
    <w:rsid w:val="51D76478"/>
    <w:rsid w:val="52340610"/>
    <w:rsid w:val="52C0534E"/>
    <w:rsid w:val="540C5299"/>
    <w:rsid w:val="5416741C"/>
    <w:rsid w:val="543D63CA"/>
    <w:rsid w:val="54C503A9"/>
    <w:rsid w:val="5589785B"/>
    <w:rsid w:val="56164A64"/>
    <w:rsid w:val="569C5DD2"/>
    <w:rsid w:val="57A4091B"/>
    <w:rsid w:val="59686012"/>
    <w:rsid w:val="59785E77"/>
    <w:rsid w:val="59997E26"/>
    <w:rsid w:val="59EB5989"/>
    <w:rsid w:val="5A0017C6"/>
    <w:rsid w:val="5A37321F"/>
    <w:rsid w:val="5A52610C"/>
    <w:rsid w:val="5A761416"/>
    <w:rsid w:val="5AC26D74"/>
    <w:rsid w:val="5BC25CF0"/>
    <w:rsid w:val="5CA36B83"/>
    <w:rsid w:val="5D3977DC"/>
    <w:rsid w:val="5D654E54"/>
    <w:rsid w:val="5D9B1B18"/>
    <w:rsid w:val="5DB00BBA"/>
    <w:rsid w:val="5E570039"/>
    <w:rsid w:val="5EAB5895"/>
    <w:rsid w:val="5EC940AA"/>
    <w:rsid w:val="5F0A78D0"/>
    <w:rsid w:val="5F570332"/>
    <w:rsid w:val="603B36DE"/>
    <w:rsid w:val="60496CA8"/>
    <w:rsid w:val="607B6ACE"/>
    <w:rsid w:val="60857702"/>
    <w:rsid w:val="60C034C4"/>
    <w:rsid w:val="60CD66C4"/>
    <w:rsid w:val="60FE64CC"/>
    <w:rsid w:val="61020ED6"/>
    <w:rsid w:val="61386C97"/>
    <w:rsid w:val="61BA1B64"/>
    <w:rsid w:val="61CE3834"/>
    <w:rsid w:val="623D7E00"/>
    <w:rsid w:val="62EF24D1"/>
    <w:rsid w:val="62FA0C4A"/>
    <w:rsid w:val="63494513"/>
    <w:rsid w:val="64113E09"/>
    <w:rsid w:val="64122864"/>
    <w:rsid w:val="641D6020"/>
    <w:rsid w:val="64BD4DA2"/>
    <w:rsid w:val="64C0787D"/>
    <w:rsid w:val="64F71232"/>
    <w:rsid w:val="653D6531"/>
    <w:rsid w:val="65436E67"/>
    <w:rsid w:val="65712F3A"/>
    <w:rsid w:val="658710C6"/>
    <w:rsid w:val="66A51361"/>
    <w:rsid w:val="66ED3A8A"/>
    <w:rsid w:val="67886B27"/>
    <w:rsid w:val="67DA0A1B"/>
    <w:rsid w:val="68245BEF"/>
    <w:rsid w:val="687A4BCC"/>
    <w:rsid w:val="68AD1560"/>
    <w:rsid w:val="68C540CE"/>
    <w:rsid w:val="693D1CB2"/>
    <w:rsid w:val="6A815675"/>
    <w:rsid w:val="6A892D47"/>
    <w:rsid w:val="6B5A4BE4"/>
    <w:rsid w:val="6BE96676"/>
    <w:rsid w:val="6C1149CA"/>
    <w:rsid w:val="6C16437D"/>
    <w:rsid w:val="6C2B3015"/>
    <w:rsid w:val="6C2D2840"/>
    <w:rsid w:val="6C4C1B45"/>
    <w:rsid w:val="6CB22497"/>
    <w:rsid w:val="6CB94BB4"/>
    <w:rsid w:val="6CCC6C95"/>
    <w:rsid w:val="6CF33686"/>
    <w:rsid w:val="6D131CD3"/>
    <w:rsid w:val="6D691572"/>
    <w:rsid w:val="6DF272D6"/>
    <w:rsid w:val="6EEF444B"/>
    <w:rsid w:val="6F3515DB"/>
    <w:rsid w:val="6F3B3E83"/>
    <w:rsid w:val="6F600AFE"/>
    <w:rsid w:val="6F9E2A23"/>
    <w:rsid w:val="70B14BB5"/>
    <w:rsid w:val="70CD2876"/>
    <w:rsid w:val="719F4FEE"/>
    <w:rsid w:val="71C82209"/>
    <w:rsid w:val="71D71BFE"/>
    <w:rsid w:val="71DB5760"/>
    <w:rsid w:val="723F5AD0"/>
    <w:rsid w:val="72555590"/>
    <w:rsid w:val="725C3AFC"/>
    <w:rsid w:val="72AA6301"/>
    <w:rsid w:val="731C321E"/>
    <w:rsid w:val="736D6364"/>
    <w:rsid w:val="73D464C3"/>
    <w:rsid w:val="73D67B15"/>
    <w:rsid w:val="73D9272A"/>
    <w:rsid w:val="74491368"/>
    <w:rsid w:val="746F136D"/>
    <w:rsid w:val="749E6CFD"/>
    <w:rsid w:val="74A4534E"/>
    <w:rsid w:val="74C404AB"/>
    <w:rsid w:val="757D404E"/>
    <w:rsid w:val="76080742"/>
    <w:rsid w:val="77210AE9"/>
    <w:rsid w:val="77337505"/>
    <w:rsid w:val="7816391A"/>
    <w:rsid w:val="795E27BE"/>
    <w:rsid w:val="79B7747B"/>
    <w:rsid w:val="79D0068A"/>
    <w:rsid w:val="7A323A56"/>
    <w:rsid w:val="7ABB46FB"/>
    <w:rsid w:val="7ABD4393"/>
    <w:rsid w:val="7AC07F91"/>
    <w:rsid w:val="7B647667"/>
    <w:rsid w:val="7BCC20ED"/>
    <w:rsid w:val="7C6D5207"/>
    <w:rsid w:val="7C850E92"/>
    <w:rsid w:val="7CED4B58"/>
    <w:rsid w:val="7CF82A57"/>
    <w:rsid w:val="7E2D5273"/>
    <w:rsid w:val="7E787B08"/>
    <w:rsid w:val="7E865AC4"/>
    <w:rsid w:val="7EC5611C"/>
    <w:rsid w:val="7EE4092B"/>
    <w:rsid w:val="7FA165D6"/>
    <w:rsid w:val="7FB0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24"/>
    <w:qFormat/>
    <w:uiPriority w:val="0"/>
    <w:pPr>
      <w:spacing w:after="120" w:line="480" w:lineRule="auto"/>
      <w:ind w:left="420" w:leftChars="200"/>
    </w:pPr>
  </w:style>
  <w:style w:type="paragraph" w:styleId="3">
    <w:name w:val="annotation text"/>
    <w:basedOn w:val="1"/>
    <w:link w:val="23"/>
    <w:qFormat/>
    <w:uiPriority w:val="0"/>
    <w:pPr>
      <w:jc w:val="left"/>
    </w:pPr>
  </w:style>
  <w:style w:type="paragraph" w:styleId="4">
    <w:name w:val="Balloon Text"/>
    <w:basedOn w:val="1"/>
    <w:link w:val="22"/>
    <w:qFormat/>
    <w:uiPriority w:val="0"/>
    <w:rPr>
      <w:sz w:val="18"/>
      <w:szCs w:val="18"/>
    </w:rPr>
  </w:style>
  <w:style w:type="paragraph" w:styleId="5">
    <w:name w:val="footer"/>
    <w:basedOn w:val="1"/>
    <w:link w:val="25"/>
    <w:qFormat/>
    <w:uiPriority w:val="0"/>
    <w:pPr>
      <w:tabs>
        <w:tab w:val="center" w:pos="4153"/>
        <w:tab w:val="right" w:pos="8306"/>
      </w:tabs>
      <w:snapToGrid w:val="0"/>
      <w:jc w:val="left"/>
    </w:pPr>
    <w:rPr>
      <w:sz w:val="18"/>
    </w:rPr>
  </w:style>
  <w:style w:type="paragraph" w:styleId="6">
    <w:name w:val="header"/>
    <w:basedOn w:val="1"/>
    <w:link w:val="2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91"/>
    <w:qFormat/>
    <w:uiPriority w:val="0"/>
    <w:rPr>
      <w:rFonts w:hint="eastAsia" w:ascii="宋体" w:hAnsi="宋体" w:eastAsia="宋体" w:cs="宋体"/>
      <w:color w:val="000000"/>
      <w:sz w:val="20"/>
      <w:szCs w:val="20"/>
      <w:u w:val="none"/>
    </w:rPr>
  </w:style>
  <w:style w:type="character" w:customStyle="1" w:styleId="12">
    <w:name w:val="font11"/>
    <w:basedOn w:val="10"/>
    <w:qFormat/>
    <w:uiPriority w:val="0"/>
    <w:rPr>
      <w:rFonts w:hint="default" w:ascii="Times New Roman" w:hAnsi="Times New Roman" w:cs="Times New Roman"/>
      <w:color w:val="000000"/>
      <w:sz w:val="20"/>
      <w:szCs w:val="20"/>
      <w:u w:val="none"/>
    </w:rPr>
  </w:style>
  <w:style w:type="character" w:customStyle="1" w:styleId="13">
    <w:name w:val="font61"/>
    <w:qFormat/>
    <w:uiPriority w:val="0"/>
    <w:rPr>
      <w:rFonts w:hint="eastAsia" w:ascii="宋体" w:hAnsi="宋体" w:eastAsia="宋体" w:cs="宋体"/>
      <w:color w:val="000000"/>
      <w:sz w:val="18"/>
      <w:szCs w:val="18"/>
      <w:u w:val="none"/>
    </w:rPr>
  </w:style>
  <w:style w:type="character" w:customStyle="1" w:styleId="14">
    <w:name w:val="font21"/>
    <w:qFormat/>
    <w:uiPriority w:val="0"/>
    <w:rPr>
      <w:rFonts w:hint="default" w:ascii="Times New Roman" w:hAnsi="Times New Roman" w:cs="Times New Roman"/>
      <w:color w:val="000000"/>
      <w:sz w:val="20"/>
      <w:szCs w:val="20"/>
      <w:u w:val="none"/>
    </w:rPr>
  </w:style>
  <w:style w:type="character" w:customStyle="1" w:styleId="15">
    <w:name w:val="font71"/>
    <w:qFormat/>
    <w:uiPriority w:val="0"/>
    <w:rPr>
      <w:rFonts w:hint="eastAsia" w:ascii="宋体" w:hAnsi="宋体" w:eastAsia="宋体" w:cs="宋体"/>
      <w:color w:val="000000"/>
      <w:sz w:val="20"/>
      <w:szCs w:val="20"/>
      <w:u w:val="none"/>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7">
    <w:name w:val="Body Text Indent1"/>
    <w:basedOn w:val="1"/>
    <w:qFormat/>
    <w:uiPriority w:val="0"/>
    <w:pPr>
      <w:ind w:firstLine="480"/>
    </w:pPr>
    <w:rPr>
      <w:sz w:val="20"/>
      <w:szCs w:val="20"/>
    </w:rPr>
  </w:style>
  <w:style w:type="character" w:customStyle="1" w:styleId="18">
    <w:name w:val="font01"/>
    <w:basedOn w:val="10"/>
    <w:qFormat/>
    <w:uiPriority w:val="0"/>
    <w:rPr>
      <w:rFonts w:hint="eastAsia" w:ascii="宋体" w:hAnsi="宋体" w:eastAsia="宋体" w:cs="宋体"/>
      <w:color w:val="000000"/>
      <w:sz w:val="24"/>
      <w:szCs w:val="24"/>
      <w:u w:val="none"/>
    </w:rPr>
  </w:style>
  <w:style w:type="character" w:customStyle="1" w:styleId="19">
    <w:name w:val="font31"/>
    <w:basedOn w:val="10"/>
    <w:qFormat/>
    <w:uiPriority w:val="0"/>
    <w:rPr>
      <w:rFonts w:hint="eastAsia" w:ascii="宋体" w:hAnsi="宋体" w:eastAsia="宋体" w:cs="宋体"/>
      <w:color w:val="000000"/>
      <w:sz w:val="18"/>
      <w:szCs w:val="18"/>
      <w:u w:val="none"/>
    </w:rPr>
  </w:style>
  <w:style w:type="paragraph" w:styleId="20">
    <w:name w:val="List Paragraph"/>
    <w:basedOn w:val="1"/>
    <w:unhideWhenUsed/>
    <w:qFormat/>
    <w:uiPriority w:val="99"/>
    <w:pPr>
      <w:ind w:firstLine="420" w:firstLineChars="200"/>
    </w:pPr>
  </w:style>
  <w:style w:type="paragraph" w:customStyle="1" w:styleId="21">
    <w:name w:val="Contents2"/>
    <w:basedOn w:val="1"/>
    <w:next w:val="1"/>
    <w:qFormat/>
    <w:uiPriority w:val="0"/>
    <w:pPr>
      <w:spacing w:line="360" w:lineRule="atLeast"/>
      <w:outlineLvl w:val="1"/>
    </w:pPr>
    <w:rPr>
      <w:rFonts w:eastAsia="黑体" w:cs="Arial"/>
      <w:bCs/>
      <w:sz w:val="32"/>
    </w:rPr>
  </w:style>
  <w:style w:type="character" w:customStyle="1" w:styleId="22">
    <w:name w:val="批注框文本 Char"/>
    <w:basedOn w:val="10"/>
    <w:link w:val="4"/>
    <w:qFormat/>
    <w:uiPriority w:val="0"/>
    <w:rPr>
      <w:rFonts w:asciiTheme="minorHAnsi" w:hAnsiTheme="minorHAnsi" w:eastAsiaTheme="minorEastAsia" w:cstheme="minorBidi"/>
      <w:kern w:val="2"/>
      <w:sz w:val="18"/>
      <w:szCs w:val="18"/>
    </w:rPr>
  </w:style>
  <w:style w:type="character" w:customStyle="1" w:styleId="23">
    <w:name w:val="批注文字 Char"/>
    <w:basedOn w:val="10"/>
    <w:link w:val="3"/>
    <w:qFormat/>
    <w:uiPriority w:val="0"/>
    <w:rPr>
      <w:rFonts w:asciiTheme="minorHAnsi" w:hAnsiTheme="minorHAnsi" w:eastAsiaTheme="minorEastAsia" w:cstheme="minorBidi"/>
      <w:kern w:val="2"/>
      <w:sz w:val="21"/>
      <w:szCs w:val="24"/>
    </w:rPr>
  </w:style>
  <w:style w:type="character" w:customStyle="1" w:styleId="24">
    <w:name w:val="正文文本缩进 2 Char"/>
    <w:basedOn w:val="10"/>
    <w:link w:val="2"/>
    <w:qFormat/>
    <w:uiPriority w:val="0"/>
    <w:rPr>
      <w:rFonts w:asciiTheme="minorHAnsi" w:hAnsiTheme="minorHAnsi" w:eastAsiaTheme="minorEastAsia" w:cstheme="minorBidi"/>
      <w:kern w:val="2"/>
      <w:sz w:val="21"/>
      <w:szCs w:val="24"/>
    </w:rPr>
  </w:style>
  <w:style w:type="character" w:customStyle="1" w:styleId="25">
    <w:name w:val="页脚 Char"/>
    <w:basedOn w:val="10"/>
    <w:link w:val="5"/>
    <w:qFormat/>
    <w:uiPriority w:val="0"/>
    <w:rPr>
      <w:rFonts w:asciiTheme="minorHAnsi" w:hAnsiTheme="minorHAnsi" w:eastAsiaTheme="minorEastAsia" w:cstheme="minorBidi"/>
      <w:kern w:val="2"/>
      <w:sz w:val="18"/>
      <w:szCs w:val="24"/>
    </w:rPr>
  </w:style>
  <w:style w:type="character" w:customStyle="1" w:styleId="26">
    <w:name w:val="页眉 Char"/>
    <w:basedOn w:val="10"/>
    <w:link w:val="6"/>
    <w:qFormat/>
    <w:uiPriority w:val="0"/>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14238</Words>
  <Characters>15686</Characters>
  <Lines>1217</Lines>
  <Paragraphs>342</Paragraphs>
  <TotalTime>45</TotalTime>
  <ScaleCrop>false</ScaleCrop>
  <LinksUpToDate>false</LinksUpToDate>
  <CharactersWithSpaces>16265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2019-07-17T10:32:00Z</dcterms:created>
  <dc:creator>xiejieru</dc:creator>
  <cp:lastModifiedBy>“小飞鱼”</cp:lastModifiedBy>
  <cp:lastPrinted>2019-01-09T09:08:00Z</cp:lastPrinted>
  <dcterms:modified xsi:type="dcterms:W3CDTF">2023-09-13T00:33:26Z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9268E1BF290746F6B998713D719FD89C</vt:lpwstr>
  </property>
</Properties>
</file>