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B12" w:rsidRPr="00302B40" w:rsidRDefault="00302B40">
      <w:r w:rsidRPr="00302B40">
        <w:drawing>
          <wp:inline distT="0" distB="0" distL="0" distR="0" wp14:anchorId="7E0FCAB3" wp14:editId="3EE01DDA">
            <wp:extent cx="5274310" cy="3390453"/>
            <wp:effectExtent l="0" t="0" r="254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4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96B12" w:rsidRDefault="00896B12">
      <w:r w:rsidRPr="00AF31D6">
        <w:rPr>
          <w:noProof/>
        </w:rPr>
        <w:drawing>
          <wp:inline distT="0" distB="0" distL="0" distR="0" wp14:anchorId="040324BA" wp14:editId="07A4ACBF">
            <wp:extent cx="5276850" cy="408544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8" cy="408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DBC" w:rsidRDefault="00896B12">
      <w:r>
        <w:rPr>
          <w:rFonts w:hint="eastAsia"/>
        </w:rPr>
        <w:t>注：</w:t>
      </w:r>
      <w:r>
        <w:t>校园中心（上图中间圆形处、下图红色方框处）为雕塑位置，雕塑南侧（图左侧）为学术会堂及南门、北侧（图右侧）为图书馆及中心广场、东侧（图下方）为东门（主通道）、西侧（图上方）为西门。</w:t>
      </w:r>
    </w:p>
    <w:sectPr w:rsidR="00874D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361" w:rsidRDefault="00E53361" w:rsidP="00896B12">
      <w:r>
        <w:separator/>
      </w:r>
    </w:p>
  </w:endnote>
  <w:endnote w:type="continuationSeparator" w:id="0">
    <w:p w:rsidR="00E53361" w:rsidRDefault="00E53361" w:rsidP="00896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361" w:rsidRDefault="00E53361" w:rsidP="00896B12">
      <w:r>
        <w:separator/>
      </w:r>
    </w:p>
  </w:footnote>
  <w:footnote w:type="continuationSeparator" w:id="0">
    <w:p w:rsidR="00E53361" w:rsidRDefault="00E53361" w:rsidP="00896B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1D6"/>
    <w:rsid w:val="00302B40"/>
    <w:rsid w:val="00874DBC"/>
    <w:rsid w:val="00896B12"/>
    <w:rsid w:val="00AF31D6"/>
    <w:rsid w:val="00CB25A7"/>
    <w:rsid w:val="00E5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31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31D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96B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96B1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96B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96B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31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31D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96B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96B1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96B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96B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2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2023-03-03T03:21:00Z</dcterms:created>
  <dcterms:modified xsi:type="dcterms:W3CDTF">2023-03-07T08:03:00Z</dcterms:modified>
</cp:coreProperties>
</file>